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6D4" w:rsidRDefault="00A776D4" w:rsidP="00A776D4">
      <w:pPr>
        <w:rPr>
          <w:b/>
        </w:rPr>
      </w:pPr>
      <w:bookmarkStart w:id="0" w:name="_GoBack"/>
      <w:bookmarkEnd w:id="0"/>
    </w:p>
    <w:p w:rsidR="00A776D4" w:rsidRDefault="00A776D4" w:rsidP="00A776D4">
      <w:pPr>
        <w:rPr>
          <w:b/>
        </w:rPr>
      </w:pPr>
    </w:p>
    <w:p w:rsidR="00A776D4" w:rsidRDefault="00A776D4" w:rsidP="00A776D4">
      <w:pPr>
        <w:rPr>
          <w:b/>
        </w:rPr>
      </w:pPr>
      <w:r>
        <w:rPr>
          <w:b/>
        </w:rPr>
        <w:t xml:space="preserve">Supplementary Material 3. </w:t>
      </w:r>
    </w:p>
    <w:p w:rsidR="00A776D4" w:rsidRPr="00A776D4" w:rsidRDefault="00A776D4" w:rsidP="00A776D4">
      <w:r>
        <w:rPr>
          <w:b/>
        </w:rPr>
        <w:t xml:space="preserve">A. </w:t>
      </w:r>
      <w:r>
        <w:t xml:space="preserve">Aortic Valve Complex Calcification in Patients with Early and Late Recovery of Conduction. </w:t>
      </w:r>
    </w:p>
    <w:tbl>
      <w:tblPr>
        <w:tblStyle w:val="TableGrid"/>
        <w:tblW w:w="9283" w:type="dxa"/>
        <w:tblBorders>
          <w:insideV w:val="none" w:sz="0" w:space="0" w:color="auto"/>
        </w:tblBorders>
        <w:tblLayout w:type="fixed"/>
        <w:tblLook w:val="04A0"/>
      </w:tblPr>
      <w:tblGrid>
        <w:gridCol w:w="3242"/>
        <w:gridCol w:w="2181"/>
        <w:gridCol w:w="2573"/>
        <w:gridCol w:w="1287"/>
      </w:tblGrid>
      <w:tr w:rsidR="00A776D4" w:rsidRPr="00E62F02" w:rsidTr="00C876B5">
        <w:trPr>
          <w:trHeight w:val="1410"/>
        </w:trPr>
        <w:tc>
          <w:tcPr>
            <w:tcW w:w="3242" w:type="dxa"/>
            <w:tcBorders>
              <w:bottom w:val="single" w:sz="4" w:space="0" w:color="auto"/>
              <w:right w:val="single" w:sz="4" w:space="0" w:color="auto"/>
            </w:tcBorders>
          </w:tcPr>
          <w:p w:rsidR="00A776D4" w:rsidRPr="00E62F02" w:rsidRDefault="00A776D4" w:rsidP="00C876B5">
            <w:pPr>
              <w:rPr>
                <w:rFonts w:ascii="Times New Roman" w:hAnsi="Times New Roman" w:cs="Times New Roman"/>
                <w:b/>
              </w:rPr>
            </w:pPr>
          </w:p>
          <w:p w:rsidR="00A776D4" w:rsidRPr="00E62F02" w:rsidRDefault="00A776D4" w:rsidP="00C876B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D4" w:rsidRPr="00E62F02" w:rsidRDefault="00A776D4" w:rsidP="00C876B5">
            <w:pPr>
              <w:rPr>
                <w:rFonts w:ascii="Times New Roman" w:hAnsi="Times New Roman" w:cs="Times New Roman"/>
                <w:b/>
              </w:rPr>
            </w:pPr>
            <w:r w:rsidRPr="00E62F02">
              <w:rPr>
                <w:rFonts w:ascii="Times New Roman" w:hAnsi="Times New Roman" w:cs="Times New Roman"/>
                <w:b/>
              </w:rPr>
              <w:t>Non-RV Pacing Dependent at 10 days</w:t>
            </w:r>
          </w:p>
          <w:p w:rsidR="00A776D4" w:rsidRPr="00E62F02" w:rsidRDefault="00A776D4" w:rsidP="00C876B5">
            <w:pPr>
              <w:rPr>
                <w:rFonts w:ascii="Times New Roman" w:hAnsi="Times New Roman" w:cs="Times New Roman"/>
                <w:b/>
              </w:rPr>
            </w:pPr>
            <w:r w:rsidRPr="00E62F02">
              <w:rPr>
                <w:rFonts w:ascii="Times New Roman" w:hAnsi="Times New Roman" w:cs="Times New Roman"/>
                <w:b/>
              </w:rPr>
              <w:t>(</w:t>
            </w:r>
            <w:r w:rsidRPr="00E62F02">
              <w:rPr>
                <w:rFonts w:ascii="Times New Roman" w:hAnsi="Times New Roman" w:cs="Times New Roman"/>
                <w:b/>
                <w:i/>
              </w:rPr>
              <w:t>n</w:t>
            </w:r>
            <w:r>
              <w:rPr>
                <w:rFonts w:ascii="Times New Roman" w:hAnsi="Times New Roman" w:cs="Times New Roman"/>
                <w:b/>
              </w:rPr>
              <w:t xml:space="preserve"> = 8</w:t>
            </w:r>
            <w:r w:rsidRPr="00E62F0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D4" w:rsidRPr="00E62F02" w:rsidRDefault="00A776D4" w:rsidP="00C876B5">
            <w:pPr>
              <w:rPr>
                <w:rFonts w:ascii="Times New Roman" w:hAnsi="Times New Roman" w:cs="Times New Roman"/>
                <w:b/>
              </w:rPr>
            </w:pPr>
            <w:r w:rsidRPr="00E62F02">
              <w:rPr>
                <w:rFonts w:ascii="Times New Roman" w:hAnsi="Times New Roman" w:cs="Times New Roman"/>
                <w:b/>
              </w:rPr>
              <w:t>Non-RV Pacing Dependent at 30 days</w:t>
            </w:r>
            <w:r>
              <w:rPr>
                <w:rFonts w:ascii="Times New Roman" w:hAnsi="Times New Roman" w:cs="Times New Roman"/>
                <w:b/>
              </w:rPr>
              <w:t xml:space="preserve"> but RV-Pacing Dependent at 10 days</w:t>
            </w:r>
          </w:p>
          <w:p w:rsidR="00A776D4" w:rsidRPr="00E62F02" w:rsidRDefault="00A776D4" w:rsidP="00C876B5">
            <w:pPr>
              <w:rPr>
                <w:rFonts w:ascii="Times New Roman" w:hAnsi="Times New Roman" w:cs="Times New Roman"/>
                <w:b/>
              </w:rPr>
            </w:pPr>
            <w:r w:rsidRPr="00E62F02">
              <w:rPr>
                <w:rFonts w:ascii="Times New Roman" w:hAnsi="Times New Roman" w:cs="Times New Roman"/>
                <w:b/>
              </w:rPr>
              <w:t>(</w:t>
            </w:r>
            <w:r w:rsidRPr="00E62F02">
              <w:rPr>
                <w:rFonts w:ascii="Times New Roman" w:hAnsi="Times New Roman" w:cs="Times New Roman"/>
                <w:b/>
                <w:i/>
              </w:rPr>
              <w:t>n</w:t>
            </w:r>
            <w:r w:rsidRPr="00E62F02">
              <w:rPr>
                <w:rFonts w:ascii="Times New Roman" w:hAnsi="Times New Roman" w:cs="Times New Roman"/>
                <w:b/>
              </w:rPr>
              <w:t xml:space="preserve"> = 8)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D4" w:rsidRPr="00E62F02" w:rsidRDefault="00A776D4" w:rsidP="00C876B5">
            <w:pPr>
              <w:rPr>
                <w:rFonts w:ascii="Times New Roman" w:hAnsi="Times New Roman" w:cs="Times New Roman"/>
                <w:b/>
              </w:rPr>
            </w:pPr>
            <w:r w:rsidRPr="00E62F02">
              <w:rPr>
                <w:rFonts w:ascii="Times New Roman" w:hAnsi="Times New Roman" w:cs="Times New Roman"/>
                <w:b/>
                <w:i/>
              </w:rPr>
              <w:t>p</w:t>
            </w:r>
            <w:r w:rsidRPr="00E62F02">
              <w:rPr>
                <w:rFonts w:ascii="Times New Roman" w:hAnsi="Times New Roman" w:cs="Times New Roman"/>
                <w:b/>
              </w:rPr>
              <w:t xml:space="preserve"> value</w:t>
            </w:r>
          </w:p>
        </w:tc>
      </w:tr>
      <w:tr w:rsidR="00A776D4" w:rsidRPr="00E62F02" w:rsidTr="00C876B5">
        <w:tblPrEx>
          <w:tblBorders>
            <w:insideV w:val="single" w:sz="4" w:space="0" w:color="auto"/>
          </w:tblBorders>
        </w:tblPrEx>
        <w:trPr>
          <w:trHeight w:val="560"/>
        </w:trPr>
        <w:tc>
          <w:tcPr>
            <w:tcW w:w="3242" w:type="dxa"/>
            <w:tcBorders>
              <w:bottom w:val="nil"/>
            </w:tcBorders>
          </w:tcPr>
          <w:p w:rsidR="00A776D4" w:rsidRDefault="00A776D4" w:rsidP="00C876B5">
            <w:pPr>
              <w:rPr>
                <w:rFonts w:ascii="Times New Roman" w:hAnsi="Times New Roman" w:cs="Times New Roman"/>
              </w:rPr>
            </w:pPr>
            <w:r w:rsidRPr="00B01FD8">
              <w:rPr>
                <w:rFonts w:ascii="Times New Roman" w:hAnsi="Times New Roman" w:cs="Times New Roman"/>
              </w:rPr>
              <w:t>Mean Attenuation</w:t>
            </w:r>
          </w:p>
          <w:p w:rsidR="00A776D4" w:rsidRPr="00E62F02" w:rsidRDefault="00A776D4" w:rsidP="00C876B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81" w:type="dxa"/>
            <w:tcBorders>
              <w:bottom w:val="nil"/>
              <w:right w:val="nil"/>
            </w:tcBorders>
          </w:tcPr>
          <w:p w:rsidR="00A776D4" w:rsidRPr="00AF3BAC" w:rsidRDefault="00A776D4" w:rsidP="00C876B5">
            <w:pPr>
              <w:rPr>
                <w:rFonts w:ascii="Times New Roman" w:hAnsi="Times New Roman" w:cs="Times New Roman"/>
              </w:rPr>
            </w:pPr>
            <w:r w:rsidRPr="00AF3BAC">
              <w:rPr>
                <w:rFonts w:ascii="Times New Roman" w:hAnsi="Times New Roman" w:cs="Times New Roman"/>
              </w:rPr>
              <w:t>376.8</w:t>
            </w:r>
            <w:r>
              <w:rPr>
                <w:rFonts w:ascii="Times New Roman" w:hAnsi="Times New Roman" w:cs="Times New Roman"/>
              </w:rPr>
              <w:t>± 99</w:t>
            </w:r>
            <w:r w:rsidRPr="00297ED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73" w:type="dxa"/>
            <w:tcBorders>
              <w:left w:val="nil"/>
              <w:bottom w:val="nil"/>
              <w:right w:val="nil"/>
            </w:tcBorders>
          </w:tcPr>
          <w:p w:rsidR="00A776D4" w:rsidRPr="00AF3BAC" w:rsidRDefault="00A776D4" w:rsidP="00C876B5">
            <w:pPr>
              <w:rPr>
                <w:rFonts w:ascii="Times New Roman" w:hAnsi="Times New Roman" w:cs="Times New Roman"/>
              </w:rPr>
            </w:pPr>
            <w:r w:rsidRPr="00AF3BAC">
              <w:rPr>
                <w:rFonts w:ascii="Times New Roman" w:hAnsi="Times New Roman" w:cs="Times New Roman"/>
              </w:rPr>
              <w:t>331</w:t>
            </w:r>
            <w:r>
              <w:rPr>
                <w:rFonts w:ascii="Times New Roman" w:hAnsi="Times New Roman" w:cs="Times New Roman"/>
              </w:rPr>
              <w:t>± 50.0</w:t>
            </w:r>
          </w:p>
        </w:tc>
        <w:tc>
          <w:tcPr>
            <w:tcW w:w="1287" w:type="dxa"/>
            <w:tcBorders>
              <w:left w:val="nil"/>
              <w:bottom w:val="nil"/>
            </w:tcBorders>
          </w:tcPr>
          <w:p w:rsidR="00A776D4" w:rsidRPr="00AF3BAC" w:rsidRDefault="00A776D4" w:rsidP="00C876B5">
            <w:pPr>
              <w:rPr>
                <w:rFonts w:ascii="Times New Roman" w:hAnsi="Times New Roman" w:cs="Times New Roman"/>
              </w:rPr>
            </w:pPr>
            <w:r w:rsidRPr="00AF3BAC">
              <w:rPr>
                <w:rFonts w:ascii="Times New Roman" w:hAnsi="Times New Roman" w:cs="Times New Roman"/>
              </w:rPr>
              <w:t>0.47</w:t>
            </w:r>
          </w:p>
        </w:tc>
      </w:tr>
      <w:tr w:rsidR="00A776D4" w:rsidRPr="00E62F02" w:rsidTr="00C876B5">
        <w:tblPrEx>
          <w:tblBorders>
            <w:insideV w:val="single" w:sz="4" w:space="0" w:color="auto"/>
          </w:tblBorders>
        </w:tblPrEx>
        <w:trPr>
          <w:trHeight w:val="539"/>
        </w:trPr>
        <w:tc>
          <w:tcPr>
            <w:tcW w:w="3242" w:type="dxa"/>
            <w:tcBorders>
              <w:top w:val="nil"/>
              <w:bottom w:val="nil"/>
            </w:tcBorders>
          </w:tcPr>
          <w:p w:rsidR="00A776D4" w:rsidRDefault="00A776D4" w:rsidP="00C876B5">
            <w:pPr>
              <w:rPr>
                <w:rFonts w:ascii="Times New Roman" w:hAnsi="Times New Roman" w:cs="Times New Roman"/>
              </w:rPr>
            </w:pPr>
            <w:r w:rsidRPr="00B01FD8">
              <w:rPr>
                <w:rFonts w:ascii="Times New Roman" w:hAnsi="Times New Roman" w:cs="Times New Roman"/>
              </w:rPr>
              <w:t>HU Cutoff</w:t>
            </w:r>
          </w:p>
          <w:p w:rsidR="00A776D4" w:rsidRDefault="00A776D4" w:rsidP="00C876B5">
            <w:pPr>
              <w:rPr>
                <w:rFonts w:ascii="Times New Roman" w:hAnsi="Times New Roman" w:cs="Times New Roman"/>
                <w:b/>
              </w:rPr>
            </w:pPr>
          </w:p>
          <w:p w:rsidR="00A776D4" w:rsidRPr="00E62F02" w:rsidRDefault="00A776D4" w:rsidP="00C876B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81" w:type="dxa"/>
            <w:tcBorders>
              <w:top w:val="nil"/>
              <w:bottom w:val="nil"/>
              <w:right w:val="nil"/>
            </w:tcBorders>
          </w:tcPr>
          <w:p w:rsidR="00A776D4" w:rsidRPr="00AF3BAC" w:rsidRDefault="00A776D4" w:rsidP="00C876B5">
            <w:pPr>
              <w:rPr>
                <w:rFonts w:ascii="Times New Roman" w:hAnsi="Times New Roman" w:cs="Times New Roman"/>
              </w:rPr>
            </w:pPr>
            <w:r w:rsidRPr="00AF3BAC">
              <w:rPr>
                <w:rFonts w:ascii="Times New Roman" w:hAnsi="Times New Roman" w:cs="Times New Roman"/>
              </w:rPr>
              <w:t>559.9</w:t>
            </w:r>
            <w:r>
              <w:rPr>
                <w:rFonts w:ascii="Times New Roman" w:hAnsi="Times New Roman" w:cs="Times New Roman"/>
              </w:rPr>
              <w:t>±</w:t>
            </w:r>
            <w:r w:rsidRPr="00297ED0">
              <w:rPr>
                <w:rFonts w:ascii="Times New Roman" w:hAnsi="Times New Roman" w:cs="Times New Roman"/>
              </w:rPr>
              <w:t xml:space="preserve"> 27.9</w:t>
            </w: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</w:tcPr>
          <w:p w:rsidR="00A776D4" w:rsidRPr="00AF3BAC" w:rsidRDefault="00A776D4" w:rsidP="00C876B5">
            <w:pPr>
              <w:rPr>
                <w:rFonts w:ascii="Times New Roman" w:hAnsi="Times New Roman" w:cs="Times New Roman"/>
              </w:rPr>
            </w:pPr>
            <w:r w:rsidRPr="00AF3BAC">
              <w:rPr>
                <w:rFonts w:ascii="Times New Roman" w:hAnsi="Times New Roman" w:cs="Times New Roman"/>
              </w:rPr>
              <w:t xml:space="preserve"> 519.8</w:t>
            </w:r>
            <w:r>
              <w:rPr>
                <w:rFonts w:ascii="Times New Roman" w:hAnsi="Times New Roman" w:cs="Times New Roman"/>
              </w:rPr>
              <w:t xml:space="preserve">± </w:t>
            </w:r>
            <w:r w:rsidRPr="00297ED0">
              <w:rPr>
                <w:rFonts w:ascii="Times New Roman" w:hAnsi="Times New Roman" w:cs="Times New Roman"/>
              </w:rPr>
              <w:t>88.8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</w:tcBorders>
          </w:tcPr>
          <w:p w:rsidR="00A776D4" w:rsidRPr="00AF3BAC" w:rsidRDefault="00A776D4" w:rsidP="00C876B5">
            <w:pPr>
              <w:rPr>
                <w:rFonts w:ascii="Times New Roman" w:hAnsi="Times New Roman" w:cs="Times New Roman"/>
              </w:rPr>
            </w:pPr>
            <w:r w:rsidRPr="00AF3BAC">
              <w:rPr>
                <w:rFonts w:ascii="Times New Roman" w:hAnsi="Times New Roman" w:cs="Times New Roman"/>
              </w:rPr>
              <w:t>0.24</w:t>
            </w:r>
          </w:p>
        </w:tc>
      </w:tr>
      <w:tr w:rsidR="00A776D4" w:rsidRPr="00E62F02" w:rsidTr="00C876B5">
        <w:tblPrEx>
          <w:tblBorders>
            <w:insideV w:val="single" w:sz="4" w:space="0" w:color="auto"/>
          </w:tblBorders>
        </w:tblPrEx>
        <w:trPr>
          <w:trHeight w:val="850"/>
        </w:trPr>
        <w:tc>
          <w:tcPr>
            <w:tcW w:w="3242" w:type="dxa"/>
            <w:tcBorders>
              <w:top w:val="nil"/>
              <w:bottom w:val="nil"/>
            </w:tcBorders>
          </w:tcPr>
          <w:p w:rsidR="00A776D4" w:rsidRDefault="00A776D4" w:rsidP="00C876B5">
            <w:pPr>
              <w:rPr>
                <w:rFonts w:ascii="Times New Roman" w:hAnsi="Times New Roman" w:cs="Times New Roman"/>
              </w:rPr>
            </w:pPr>
            <w:r w:rsidRPr="00B01FD8">
              <w:rPr>
                <w:rFonts w:ascii="Times New Roman" w:hAnsi="Times New Roman" w:cs="Times New Roman"/>
              </w:rPr>
              <w:t>Total Calcium Volume</w:t>
            </w:r>
          </w:p>
          <w:p w:rsidR="00A776D4" w:rsidRPr="00E62F02" w:rsidRDefault="00A776D4" w:rsidP="00C876B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81" w:type="dxa"/>
            <w:tcBorders>
              <w:top w:val="nil"/>
              <w:bottom w:val="nil"/>
              <w:right w:val="nil"/>
            </w:tcBorders>
          </w:tcPr>
          <w:p w:rsidR="00A776D4" w:rsidRPr="00AF3BAC" w:rsidRDefault="00A776D4" w:rsidP="00C876B5">
            <w:pPr>
              <w:rPr>
                <w:rFonts w:ascii="Times New Roman" w:hAnsi="Times New Roman" w:cs="Times New Roman"/>
              </w:rPr>
            </w:pPr>
            <w:r w:rsidRPr="00AF3BAC">
              <w:rPr>
                <w:rFonts w:ascii="Times New Roman" w:hAnsi="Times New Roman" w:cs="Times New Roman"/>
              </w:rPr>
              <w:t>416.1</w:t>
            </w:r>
            <w:r>
              <w:rPr>
                <w:rFonts w:ascii="Times New Roman" w:hAnsi="Times New Roman" w:cs="Times New Roman"/>
              </w:rPr>
              <w:t xml:space="preserve">± </w:t>
            </w:r>
            <w:r w:rsidRPr="00297ED0">
              <w:rPr>
                <w:rFonts w:ascii="Times New Roman" w:hAnsi="Times New Roman" w:cs="Times New Roman"/>
              </w:rPr>
              <w:t>301.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</w:tcPr>
          <w:p w:rsidR="00A776D4" w:rsidRPr="00AF3BAC" w:rsidRDefault="00A776D4" w:rsidP="00C876B5">
            <w:pPr>
              <w:rPr>
                <w:rFonts w:ascii="Times New Roman" w:hAnsi="Times New Roman" w:cs="Times New Roman"/>
              </w:rPr>
            </w:pPr>
            <w:r w:rsidRPr="00AF3BAC">
              <w:rPr>
                <w:rFonts w:ascii="Times New Roman" w:hAnsi="Times New Roman" w:cs="Times New Roman"/>
              </w:rPr>
              <w:t xml:space="preserve"> 424.4</w:t>
            </w:r>
            <w:r>
              <w:rPr>
                <w:rFonts w:ascii="Times New Roman" w:hAnsi="Times New Roman" w:cs="Times New Roman"/>
              </w:rPr>
              <w:t>±</w:t>
            </w:r>
            <w:r w:rsidRPr="00297ED0">
              <w:rPr>
                <w:rFonts w:ascii="Times New Roman" w:hAnsi="Times New Roman" w:cs="Times New Roman"/>
              </w:rPr>
              <w:t xml:space="preserve"> 242.5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</w:tcBorders>
          </w:tcPr>
          <w:p w:rsidR="00A776D4" w:rsidRPr="00AF3BAC" w:rsidRDefault="00A776D4" w:rsidP="00C876B5">
            <w:pPr>
              <w:rPr>
                <w:rFonts w:ascii="Times New Roman" w:hAnsi="Times New Roman" w:cs="Times New Roman"/>
              </w:rPr>
            </w:pPr>
            <w:r w:rsidRPr="00AF3BAC">
              <w:rPr>
                <w:rFonts w:ascii="Times New Roman" w:hAnsi="Times New Roman" w:cs="Times New Roman"/>
              </w:rPr>
              <w:t>0.95</w:t>
            </w:r>
          </w:p>
        </w:tc>
      </w:tr>
      <w:tr w:rsidR="00A776D4" w:rsidRPr="00E62F02" w:rsidTr="00C876B5">
        <w:tblPrEx>
          <w:tblBorders>
            <w:insideV w:val="single" w:sz="4" w:space="0" w:color="auto"/>
          </w:tblBorders>
        </w:tblPrEx>
        <w:trPr>
          <w:trHeight w:val="829"/>
        </w:trPr>
        <w:tc>
          <w:tcPr>
            <w:tcW w:w="3242" w:type="dxa"/>
            <w:tcBorders>
              <w:top w:val="nil"/>
              <w:bottom w:val="nil"/>
            </w:tcBorders>
          </w:tcPr>
          <w:p w:rsidR="00A776D4" w:rsidRDefault="00A776D4" w:rsidP="00C876B5">
            <w:pPr>
              <w:rPr>
                <w:rFonts w:ascii="Times New Roman" w:hAnsi="Times New Roman" w:cs="Times New Roman"/>
              </w:rPr>
            </w:pPr>
            <w:r w:rsidRPr="00B01FD8">
              <w:rPr>
                <w:rFonts w:ascii="Times New Roman" w:hAnsi="Times New Roman" w:cs="Times New Roman"/>
              </w:rPr>
              <w:t>LVOT Calcium volume</w:t>
            </w:r>
          </w:p>
          <w:p w:rsidR="00A776D4" w:rsidRPr="00E62F02" w:rsidRDefault="00A776D4" w:rsidP="00C876B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81" w:type="dxa"/>
            <w:tcBorders>
              <w:top w:val="nil"/>
              <w:bottom w:val="nil"/>
              <w:right w:val="nil"/>
            </w:tcBorders>
          </w:tcPr>
          <w:p w:rsidR="00A776D4" w:rsidRPr="00AF3BAC" w:rsidRDefault="00A776D4" w:rsidP="00C876B5">
            <w:pPr>
              <w:rPr>
                <w:rFonts w:ascii="Times New Roman" w:hAnsi="Times New Roman" w:cs="Times New Roman"/>
              </w:rPr>
            </w:pPr>
            <w:r w:rsidRPr="00AF3BAC">
              <w:rPr>
                <w:rFonts w:ascii="Times New Roman" w:hAnsi="Times New Roman" w:cs="Times New Roman"/>
              </w:rPr>
              <w:t>30.1</w:t>
            </w:r>
            <w:r>
              <w:rPr>
                <w:rFonts w:ascii="Times New Roman" w:hAnsi="Times New Roman" w:cs="Times New Roman"/>
              </w:rPr>
              <w:t>±</w:t>
            </w:r>
            <w:r w:rsidRPr="00297ED0">
              <w:rPr>
                <w:rFonts w:ascii="Times New Roman" w:hAnsi="Times New Roman" w:cs="Times New Roman"/>
              </w:rPr>
              <w:t xml:space="preserve"> 29.7</w:t>
            </w: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</w:tcPr>
          <w:p w:rsidR="00A776D4" w:rsidRPr="00AF3BAC" w:rsidRDefault="00A776D4" w:rsidP="00C876B5">
            <w:pPr>
              <w:rPr>
                <w:rFonts w:ascii="Times New Roman" w:hAnsi="Times New Roman" w:cs="Times New Roman"/>
              </w:rPr>
            </w:pPr>
            <w:r w:rsidRPr="00AF3BAC">
              <w:rPr>
                <w:rFonts w:ascii="Times New Roman" w:hAnsi="Times New Roman" w:cs="Times New Roman"/>
              </w:rPr>
              <w:t xml:space="preserve"> 32.6</w:t>
            </w:r>
            <w:r>
              <w:rPr>
                <w:rFonts w:ascii="Times New Roman" w:hAnsi="Times New Roman" w:cs="Times New Roman"/>
              </w:rPr>
              <w:t xml:space="preserve">± </w:t>
            </w:r>
            <w:r w:rsidRPr="00297ED0">
              <w:rPr>
                <w:rFonts w:ascii="Times New Roman" w:hAnsi="Times New Roman" w:cs="Times New Roman"/>
              </w:rPr>
              <w:t>41.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</w:tcBorders>
          </w:tcPr>
          <w:p w:rsidR="00A776D4" w:rsidRPr="00AF3BAC" w:rsidRDefault="00A776D4" w:rsidP="00C876B5">
            <w:pPr>
              <w:rPr>
                <w:rFonts w:ascii="Times New Roman" w:hAnsi="Times New Roman" w:cs="Times New Roman"/>
              </w:rPr>
            </w:pPr>
            <w:r w:rsidRPr="00AF3BAC">
              <w:rPr>
                <w:rFonts w:ascii="Times New Roman" w:hAnsi="Times New Roman" w:cs="Times New Roman"/>
              </w:rPr>
              <w:t>0.89</w:t>
            </w:r>
          </w:p>
        </w:tc>
      </w:tr>
      <w:tr w:rsidR="00A776D4" w:rsidRPr="00E62F02" w:rsidTr="00C876B5">
        <w:tblPrEx>
          <w:tblBorders>
            <w:insideV w:val="single" w:sz="4" w:space="0" w:color="auto"/>
          </w:tblBorders>
        </w:tblPrEx>
        <w:trPr>
          <w:trHeight w:val="850"/>
        </w:trPr>
        <w:tc>
          <w:tcPr>
            <w:tcW w:w="3242" w:type="dxa"/>
            <w:tcBorders>
              <w:top w:val="nil"/>
              <w:bottom w:val="nil"/>
            </w:tcBorders>
          </w:tcPr>
          <w:p w:rsidR="00A776D4" w:rsidRDefault="00A776D4" w:rsidP="00C876B5">
            <w:pPr>
              <w:rPr>
                <w:rFonts w:ascii="Times New Roman" w:hAnsi="Times New Roman" w:cs="Times New Roman"/>
              </w:rPr>
            </w:pPr>
            <w:r w:rsidRPr="00B01FD8">
              <w:rPr>
                <w:rFonts w:ascii="Times New Roman" w:hAnsi="Times New Roman" w:cs="Times New Roman"/>
              </w:rPr>
              <w:t>Annul</w:t>
            </w:r>
            <w:r>
              <w:rPr>
                <w:rFonts w:ascii="Times New Roman" w:hAnsi="Times New Roman" w:cs="Times New Roman"/>
              </w:rPr>
              <w:t>u</w:t>
            </w:r>
            <w:r w:rsidRPr="00B01FD8">
              <w:rPr>
                <w:rFonts w:ascii="Times New Roman" w:hAnsi="Times New Roman" w:cs="Times New Roman"/>
              </w:rPr>
              <w:t>s Calcium volume</w:t>
            </w:r>
          </w:p>
          <w:p w:rsidR="00A776D4" w:rsidRPr="00E62F02" w:rsidRDefault="00A776D4" w:rsidP="00C876B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81" w:type="dxa"/>
            <w:tcBorders>
              <w:top w:val="nil"/>
              <w:bottom w:val="nil"/>
              <w:right w:val="nil"/>
            </w:tcBorders>
          </w:tcPr>
          <w:p w:rsidR="00A776D4" w:rsidRPr="00AF3BAC" w:rsidRDefault="00A776D4" w:rsidP="00C876B5">
            <w:pPr>
              <w:rPr>
                <w:rFonts w:ascii="Times New Roman" w:hAnsi="Times New Roman" w:cs="Times New Roman"/>
              </w:rPr>
            </w:pPr>
            <w:r w:rsidRPr="00AF3BAC">
              <w:rPr>
                <w:rFonts w:ascii="Times New Roman" w:hAnsi="Times New Roman" w:cs="Times New Roman"/>
              </w:rPr>
              <w:t>90.8</w:t>
            </w:r>
            <w:r>
              <w:rPr>
                <w:rFonts w:ascii="Times New Roman" w:hAnsi="Times New Roman" w:cs="Times New Roman"/>
              </w:rPr>
              <w:t>±</w:t>
            </w:r>
            <w:r w:rsidRPr="00297ED0">
              <w:rPr>
                <w:rFonts w:ascii="Times New Roman" w:hAnsi="Times New Roman" w:cs="Times New Roman"/>
              </w:rPr>
              <w:t xml:space="preserve"> 63.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</w:tcPr>
          <w:p w:rsidR="00A776D4" w:rsidRPr="00AF3BAC" w:rsidRDefault="00A776D4" w:rsidP="00C876B5">
            <w:pPr>
              <w:rPr>
                <w:rFonts w:ascii="Times New Roman" w:hAnsi="Times New Roman" w:cs="Times New Roman"/>
              </w:rPr>
            </w:pPr>
            <w:r w:rsidRPr="00AF3BAC">
              <w:rPr>
                <w:rFonts w:ascii="Times New Roman" w:hAnsi="Times New Roman" w:cs="Times New Roman"/>
              </w:rPr>
              <w:t xml:space="preserve"> 94.9</w:t>
            </w:r>
            <w:r>
              <w:rPr>
                <w:rFonts w:ascii="Times New Roman" w:hAnsi="Times New Roman" w:cs="Times New Roman"/>
              </w:rPr>
              <w:t xml:space="preserve">± </w:t>
            </w:r>
            <w:r w:rsidRPr="00297ED0">
              <w:rPr>
                <w:rFonts w:ascii="Times New Roman" w:hAnsi="Times New Roman" w:cs="Times New Roman"/>
              </w:rPr>
              <w:t>37.4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</w:tcBorders>
          </w:tcPr>
          <w:p w:rsidR="00A776D4" w:rsidRPr="00AF3BAC" w:rsidRDefault="00A776D4" w:rsidP="00C876B5">
            <w:pPr>
              <w:rPr>
                <w:rFonts w:ascii="Times New Roman" w:hAnsi="Times New Roman" w:cs="Times New Roman"/>
              </w:rPr>
            </w:pPr>
            <w:r w:rsidRPr="00AF3BAC">
              <w:rPr>
                <w:rFonts w:ascii="Times New Roman" w:hAnsi="Times New Roman" w:cs="Times New Roman"/>
              </w:rPr>
              <w:t>0.88</w:t>
            </w:r>
          </w:p>
        </w:tc>
      </w:tr>
      <w:tr w:rsidR="00A776D4" w:rsidRPr="00E62F02" w:rsidTr="00C876B5">
        <w:tblPrEx>
          <w:tblBorders>
            <w:insideV w:val="single" w:sz="4" w:space="0" w:color="auto"/>
          </w:tblBorders>
        </w:tblPrEx>
        <w:trPr>
          <w:trHeight w:val="829"/>
        </w:trPr>
        <w:tc>
          <w:tcPr>
            <w:tcW w:w="3242" w:type="dxa"/>
            <w:tcBorders>
              <w:top w:val="nil"/>
              <w:bottom w:val="nil"/>
            </w:tcBorders>
          </w:tcPr>
          <w:p w:rsidR="00A776D4" w:rsidRDefault="00A776D4" w:rsidP="00C876B5">
            <w:pPr>
              <w:rPr>
                <w:rFonts w:ascii="Times New Roman" w:hAnsi="Times New Roman" w:cs="Times New Roman"/>
              </w:rPr>
            </w:pPr>
            <w:r w:rsidRPr="00B01FD8">
              <w:rPr>
                <w:rFonts w:ascii="Times New Roman" w:hAnsi="Times New Roman" w:cs="Times New Roman"/>
              </w:rPr>
              <w:t>RCC Leaflet Calcium Volume</w:t>
            </w:r>
          </w:p>
          <w:p w:rsidR="00A776D4" w:rsidRPr="00E62F02" w:rsidRDefault="00A776D4" w:rsidP="00C876B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81" w:type="dxa"/>
            <w:tcBorders>
              <w:top w:val="nil"/>
              <w:bottom w:val="nil"/>
              <w:right w:val="nil"/>
            </w:tcBorders>
          </w:tcPr>
          <w:p w:rsidR="00A776D4" w:rsidRPr="00AF3BAC" w:rsidRDefault="00A776D4" w:rsidP="00C876B5">
            <w:pPr>
              <w:rPr>
                <w:rFonts w:ascii="Times New Roman" w:hAnsi="Times New Roman" w:cs="Times New Roman"/>
              </w:rPr>
            </w:pPr>
            <w:r w:rsidRPr="00AF3BAC">
              <w:rPr>
                <w:rFonts w:ascii="Times New Roman" w:hAnsi="Times New Roman" w:cs="Times New Roman"/>
              </w:rPr>
              <w:t>108.4</w:t>
            </w:r>
            <w:r>
              <w:rPr>
                <w:rFonts w:ascii="Times New Roman" w:hAnsi="Times New Roman" w:cs="Times New Roman"/>
              </w:rPr>
              <w:t>±</w:t>
            </w:r>
            <w:r w:rsidRPr="00297ED0">
              <w:rPr>
                <w:rFonts w:ascii="Times New Roman" w:hAnsi="Times New Roman" w:cs="Times New Roman"/>
              </w:rPr>
              <w:t>140.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</w:tcPr>
          <w:p w:rsidR="00A776D4" w:rsidRPr="00AF3BAC" w:rsidRDefault="00A776D4" w:rsidP="00C876B5">
            <w:pPr>
              <w:rPr>
                <w:rFonts w:ascii="Times New Roman" w:hAnsi="Times New Roman" w:cs="Times New Roman"/>
              </w:rPr>
            </w:pPr>
            <w:r w:rsidRPr="00AF3BAC">
              <w:rPr>
                <w:rFonts w:ascii="Times New Roman" w:hAnsi="Times New Roman" w:cs="Times New Roman"/>
              </w:rPr>
              <w:t xml:space="preserve"> 106.1</w:t>
            </w:r>
            <w:r>
              <w:rPr>
                <w:rFonts w:ascii="Times New Roman" w:hAnsi="Times New Roman" w:cs="Times New Roman"/>
              </w:rPr>
              <w:t xml:space="preserve">± </w:t>
            </w:r>
            <w:r w:rsidRPr="00297ED0">
              <w:rPr>
                <w:rFonts w:ascii="Times New Roman" w:hAnsi="Times New Roman" w:cs="Times New Roman"/>
              </w:rPr>
              <w:t>104.9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</w:tcBorders>
          </w:tcPr>
          <w:p w:rsidR="00A776D4" w:rsidRPr="00AF3BAC" w:rsidRDefault="00A776D4" w:rsidP="00C876B5">
            <w:pPr>
              <w:rPr>
                <w:rFonts w:ascii="Times New Roman" w:hAnsi="Times New Roman" w:cs="Times New Roman"/>
              </w:rPr>
            </w:pPr>
            <w:r w:rsidRPr="00AF3BAC">
              <w:rPr>
                <w:rFonts w:ascii="Times New Roman" w:hAnsi="Times New Roman" w:cs="Times New Roman"/>
              </w:rPr>
              <w:t>0.97</w:t>
            </w:r>
          </w:p>
        </w:tc>
      </w:tr>
      <w:tr w:rsidR="00A776D4" w:rsidRPr="00E62F02" w:rsidTr="00C876B5">
        <w:tblPrEx>
          <w:tblBorders>
            <w:insideV w:val="single" w:sz="4" w:space="0" w:color="auto"/>
          </w:tblBorders>
        </w:tblPrEx>
        <w:trPr>
          <w:trHeight w:val="829"/>
        </w:trPr>
        <w:tc>
          <w:tcPr>
            <w:tcW w:w="3242" w:type="dxa"/>
            <w:tcBorders>
              <w:top w:val="nil"/>
              <w:bottom w:val="nil"/>
            </w:tcBorders>
          </w:tcPr>
          <w:p w:rsidR="00A776D4" w:rsidRDefault="00A776D4" w:rsidP="00C876B5">
            <w:pPr>
              <w:rPr>
                <w:rFonts w:ascii="Times New Roman" w:hAnsi="Times New Roman" w:cs="Times New Roman"/>
              </w:rPr>
            </w:pPr>
            <w:r w:rsidRPr="00B01FD8">
              <w:rPr>
                <w:rFonts w:ascii="Times New Roman" w:hAnsi="Times New Roman" w:cs="Times New Roman"/>
              </w:rPr>
              <w:t>NCC Leaflet Calcium Volume</w:t>
            </w:r>
          </w:p>
          <w:p w:rsidR="00A776D4" w:rsidRPr="00E62F02" w:rsidRDefault="00A776D4" w:rsidP="00C876B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81" w:type="dxa"/>
            <w:tcBorders>
              <w:top w:val="nil"/>
              <w:bottom w:val="nil"/>
              <w:right w:val="nil"/>
            </w:tcBorders>
          </w:tcPr>
          <w:p w:rsidR="00A776D4" w:rsidRPr="00AF3BAC" w:rsidRDefault="00A776D4" w:rsidP="00C876B5">
            <w:pPr>
              <w:rPr>
                <w:rFonts w:ascii="Times New Roman" w:hAnsi="Times New Roman" w:cs="Times New Roman"/>
              </w:rPr>
            </w:pPr>
            <w:r w:rsidRPr="00AF3BAC">
              <w:rPr>
                <w:rFonts w:ascii="Times New Roman" w:hAnsi="Times New Roman" w:cs="Times New Roman"/>
              </w:rPr>
              <w:t>113.5</w:t>
            </w:r>
            <w:r>
              <w:rPr>
                <w:rFonts w:ascii="Times New Roman" w:hAnsi="Times New Roman" w:cs="Times New Roman"/>
              </w:rPr>
              <w:t xml:space="preserve">± </w:t>
            </w:r>
            <w:r w:rsidRPr="00297ED0">
              <w:rPr>
                <w:rFonts w:ascii="Times New Roman" w:hAnsi="Times New Roman" w:cs="Times New Roman"/>
              </w:rPr>
              <w:t>67.3</w:t>
            </w: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</w:tcPr>
          <w:p w:rsidR="00A776D4" w:rsidRPr="00AF3BAC" w:rsidRDefault="00A776D4" w:rsidP="00C876B5">
            <w:pPr>
              <w:rPr>
                <w:rFonts w:ascii="Times New Roman" w:hAnsi="Times New Roman" w:cs="Times New Roman"/>
              </w:rPr>
            </w:pPr>
            <w:r w:rsidRPr="00AF3BAC">
              <w:rPr>
                <w:rFonts w:ascii="Times New Roman" w:hAnsi="Times New Roman" w:cs="Times New Roman"/>
              </w:rPr>
              <w:t xml:space="preserve"> 113.6</w:t>
            </w:r>
            <w:r>
              <w:rPr>
                <w:rFonts w:ascii="Times New Roman" w:hAnsi="Times New Roman" w:cs="Times New Roman"/>
              </w:rPr>
              <w:t xml:space="preserve">± </w:t>
            </w:r>
            <w:r w:rsidRPr="00297ED0">
              <w:rPr>
                <w:rFonts w:ascii="Times New Roman" w:hAnsi="Times New Roman" w:cs="Times New Roman"/>
              </w:rPr>
              <w:t>63.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</w:tcBorders>
          </w:tcPr>
          <w:p w:rsidR="00A776D4" w:rsidRPr="00AF3BAC" w:rsidRDefault="00A776D4" w:rsidP="00C876B5">
            <w:pPr>
              <w:rPr>
                <w:rFonts w:ascii="Times New Roman" w:hAnsi="Times New Roman" w:cs="Times New Roman"/>
              </w:rPr>
            </w:pPr>
            <w:r w:rsidRPr="00AF3BAC">
              <w:rPr>
                <w:rFonts w:ascii="Times New Roman" w:hAnsi="Times New Roman" w:cs="Times New Roman"/>
              </w:rPr>
              <w:t>0.997</w:t>
            </w:r>
          </w:p>
        </w:tc>
      </w:tr>
      <w:tr w:rsidR="00A776D4" w:rsidRPr="00E62F02" w:rsidTr="00C876B5">
        <w:tblPrEx>
          <w:tblBorders>
            <w:insideV w:val="single" w:sz="4" w:space="0" w:color="auto"/>
          </w:tblBorders>
        </w:tblPrEx>
        <w:trPr>
          <w:trHeight w:val="850"/>
        </w:trPr>
        <w:tc>
          <w:tcPr>
            <w:tcW w:w="3242" w:type="dxa"/>
            <w:tcBorders>
              <w:top w:val="nil"/>
              <w:bottom w:val="nil"/>
            </w:tcBorders>
          </w:tcPr>
          <w:p w:rsidR="00A776D4" w:rsidRDefault="00A776D4" w:rsidP="00C876B5">
            <w:pPr>
              <w:rPr>
                <w:rFonts w:ascii="Times New Roman" w:hAnsi="Times New Roman" w:cs="Times New Roman"/>
              </w:rPr>
            </w:pPr>
            <w:r w:rsidRPr="00B01FD8">
              <w:rPr>
                <w:rFonts w:ascii="Times New Roman" w:hAnsi="Times New Roman" w:cs="Times New Roman"/>
              </w:rPr>
              <w:t>LCC Leaflet Calcium Volume</w:t>
            </w:r>
          </w:p>
          <w:p w:rsidR="00A776D4" w:rsidRPr="00E62F02" w:rsidRDefault="00A776D4" w:rsidP="00C876B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81" w:type="dxa"/>
            <w:tcBorders>
              <w:top w:val="nil"/>
              <w:bottom w:val="nil"/>
              <w:right w:val="nil"/>
            </w:tcBorders>
          </w:tcPr>
          <w:p w:rsidR="00A776D4" w:rsidRPr="00AF3BAC" w:rsidRDefault="00A776D4" w:rsidP="00C876B5">
            <w:pPr>
              <w:rPr>
                <w:rFonts w:ascii="Times New Roman" w:hAnsi="Times New Roman" w:cs="Times New Roman"/>
              </w:rPr>
            </w:pPr>
            <w:r w:rsidRPr="00AF3BAC">
              <w:rPr>
                <w:rFonts w:ascii="Times New Roman" w:hAnsi="Times New Roman" w:cs="Times New Roman"/>
              </w:rPr>
              <w:t>91.7</w:t>
            </w:r>
            <w:r>
              <w:rPr>
                <w:rFonts w:ascii="Times New Roman" w:hAnsi="Times New Roman" w:cs="Times New Roman"/>
              </w:rPr>
              <w:t xml:space="preserve">± </w:t>
            </w:r>
            <w:r w:rsidRPr="00297ED0">
              <w:rPr>
                <w:rFonts w:ascii="Times New Roman" w:hAnsi="Times New Roman" w:cs="Times New Roman"/>
              </w:rPr>
              <w:t>90.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</w:tcPr>
          <w:p w:rsidR="00A776D4" w:rsidRPr="00AF3BAC" w:rsidRDefault="00A776D4" w:rsidP="00C876B5">
            <w:pPr>
              <w:rPr>
                <w:rFonts w:ascii="Times New Roman" w:hAnsi="Times New Roman" w:cs="Times New Roman"/>
              </w:rPr>
            </w:pPr>
            <w:r w:rsidRPr="00AF3BAC">
              <w:rPr>
                <w:rFonts w:ascii="Times New Roman" w:hAnsi="Times New Roman" w:cs="Times New Roman"/>
              </w:rPr>
              <w:t>91.1</w:t>
            </w:r>
            <w:r>
              <w:rPr>
                <w:rFonts w:ascii="Times New Roman" w:hAnsi="Times New Roman" w:cs="Times New Roman"/>
              </w:rPr>
              <w:t xml:space="preserve">± </w:t>
            </w:r>
            <w:r w:rsidRPr="00297ED0">
              <w:rPr>
                <w:rFonts w:ascii="Times New Roman" w:hAnsi="Times New Roman" w:cs="Times New Roman"/>
              </w:rPr>
              <w:t>89.2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</w:tcBorders>
          </w:tcPr>
          <w:p w:rsidR="00A776D4" w:rsidRPr="00AF3BAC" w:rsidRDefault="00A776D4" w:rsidP="00C876B5">
            <w:pPr>
              <w:rPr>
                <w:rFonts w:ascii="Times New Roman" w:hAnsi="Times New Roman" w:cs="Times New Roman"/>
              </w:rPr>
            </w:pPr>
            <w:r w:rsidRPr="00AF3BAC">
              <w:rPr>
                <w:rFonts w:ascii="Times New Roman" w:hAnsi="Times New Roman" w:cs="Times New Roman"/>
              </w:rPr>
              <w:t>0.99</w:t>
            </w:r>
          </w:p>
        </w:tc>
      </w:tr>
      <w:tr w:rsidR="00A776D4" w:rsidRPr="00E62F02" w:rsidTr="00C876B5">
        <w:tblPrEx>
          <w:tblBorders>
            <w:insideV w:val="single" w:sz="4" w:space="0" w:color="auto"/>
          </w:tblBorders>
        </w:tblPrEx>
        <w:trPr>
          <w:trHeight w:val="560"/>
        </w:trPr>
        <w:tc>
          <w:tcPr>
            <w:tcW w:w="3242" w:type="dxa"/>
            <w:tcBorders>
              <w:top w:val="nil"/>
            </w:tcBorders>
          </w:tcPr>
          <w:p w:rsidR="00A776D4" w:rsidRPr="00E62F02" w:rsidRDefault="00A776D4" w:rsidP="00C876B5">
            <w:pPr>
              <w:rPr>
                <w:rFonts w:ascii="Times New Roman" w:hAnsi="Times New Roman" w:cs="Times New Roman"/>
                <w:b/>
              </w:rPr>
            </w:pPr>
            <w:r w:rsidRPr="00B01FD8">
              <w:rPr>
                <w:rFonts w:ascii="Times New Roman" w:hAnsi="Times New Roman" w:cs="Times New Roman"/>
              </w:rPr>
              <w:t>Total leaflet Calcium Volume</w:t>
            </w:r>
          </w:p>
        </w:tc>
        <w:tc>
          <w:tcPr>
            <w:tcW w:w="2181" w:type="dxa"/>
            <w:tcBorders>
              <w:top w:val="nil"/>
              <w:right w:val="nil"/>
            </w:tcBorders>
          </w:tcPr>
          <w:p w:rsidR="00A776D4" w:rsidRPr="00AF3BAC" w:rsidRDefault="00A776D4" w:rsidP="00C876B5">
            <w:pPr>
              <w:rPr>
                <w:rFonts w:ascii="Times New Roman" w:hAnsi="Times New Roman" w:cs="Times New Roman"/>
              </w:rPr>
            </w:pPr>
            <w:r w:rsidRPr="00AF3BAC">
              <w:rPr>
                <w:rFonts w:ascii="Times New Roman" w:hAnsi="Times New Roman" w:cs="Times New Roman"/>
              </w:rPr>
              <w:t>313.6</w:t>
            </w:r>
            <w:r>
              <w:rPr>
                <w:rFonts w:ascii="Times New Roman" w:hAnsi="Times New Roman" w:cs="Times New Roman"/>
              </w:rPr>
              <w:t xml:space="preserve">± </w:t>
            </w:r>
            <w:r w:rsidRPr="00297ED0">
              <w:rPr>
                <w:rFonts w:ascii="Times New Roman" w:hAnsi="Times New Roman" w:cs="Times New Roman"/>
              </w:rPr>
              <w:t>279.2</w:t>
            </w:r>
          </w:p>
        </w:tc>
        <w:tc>
          <w:tcPr>
            <w:tcW w:w="2573" w:type="dxa"/>
            <w:tcBorders>
              <w:top w:val="nil"/>
              <w:left w:val="nil"/>
              <w:right w:val="nil"/>
            </w:tcBorders>
          </w:tcPr>
          <w:p w:rsidR="00A776D4" w:rsidRPr="00AF3BAC" w:rsidRDefault="00A776D4" w:rsidP="00C876B5">
            <w:pPr>
              <w:rPr>
                <w:rFonts w:ascii="Times New Roman" w:hAnsi="Times New Roman" w:cs="Times New Roman"/>
              </w:rPr>
            </w:pPr>
            <w:r w:rsidRPr="00AF3BAC">
              <w:rPr>
                <w:rFonts w:ascii="Times New Roman" w:hAnsi="Times New Roman" w:cs="Times New Roman"/>
              </w:rPr>
              <w:t xml:space="preserve"> 310.8</w:t>
            </w:r>
            <w:r>
              <w:rPr>
                <w:rFonts w:ascii="Times New Roman" w:hAnsi="Times New Roman" w:cs="Times New Roman"/>
              </w:rPr>
              <w:t xml:space="preserve">± </w:t>
            </w:r>
            <w:r w:rsidRPr="00297ED0">
              <w:rPr>
                <w:rFonts w:ascii="Times New Roman" w:hAnsi="Times New Roman" w:cs="Times New Roman"/>
              </w:rPr>
              <w:t>233.7</w:t>
            </w:r>
          </w:p>
        </w:tc>
        <w:tc>
          <w:tcPr>
            <w:tcW w:w="1287" w:type="dxa"/>
            <w:tcBorders>
              <w:top w:val="nil"/>
              <w:left w:val="nil"/>
            </w:tcBorders>
          </w:tcPr>
          <w:p w:rsidR="00A776D4" w:rsidRPr="00AF3BAC" w:rsidRDefault="00A776D4" w:rsidP="00C876B5">
            <w:pPr>
              <w:rPr>
                <w:rFonts w:ascii="Times New Roman" w:hAnsi="Times New Roman" w:cs="Times New Roman"/>
              </w:rPr>
            </w:pPr>
            <w:r w:rsidRPr="00AF3BAC">
              <w:rPr>
                <w:rFonts w:ascii="Times New Roman" w:hAnsi="Times New Roman" w:cs="Times New Roman"/>
              </w:rPr>
              <w:t>0.98</w:t>
            </w:r>
          </w:p>
        </w:tc>
      </w:tr>
    </w:tbl>
    <w:p w:rsidR="00A776D4" w:rsidRDefault="00A776D4" w:rsidP="00A776D4">
      <w:pPr>
        <w:rPr>
          <w:rFonts w:ascii="Times New Roman" w:hAnsi="Times New Roman" w:cs="Times New Roman"/>
        </w:rPr>
      </w:pPr>
    </w:p>
    <w:p w:rsidR="00A776D4" w:rsidRPr="00A776D4" w:rsidRDefault="00A776D4" w:rsidP="00A776D4">
      <w:r>
        <w:rPr>
          <w:b/>
        </w:rPr>
        <w:t xml:space="preserve">B.  </w:t>
      </w:r>
      <w:r>
        <w:t xml:space="preserve">Aortic Valve Complex Calcification in Patients with Early Recovery of Conduction and No Recovery of Conduction. </w:t>
      </w:r>
    </w:p>
    <w:tbl>
      <w:tblPr>
        <w:tblStyle w:val="TableGrid"/>
        <w:tblW w:w="9283" w:type="dxa"/>
        <w:tblBorders>
          <w:insideV w:val="none" w:sz="0" w:space="0" w:color="auto"/>
        </w:tblBorders>
        <w:tblLayout w:type="fixed"/>
        <w:tblLook w:val="04A0"/>
      </w:tblPr>
      <w:tblGrid>
        <w:gridCol w:w="3242"/>
        <w:gridCol w:w="2181"/>
        <w:gridCol w:w="2573"/>
        <w:gridCol w:w="1287"/>
      </w:tblGrid>
      <w:tr w:rsidR="00A776D4" w:rsidRPr="00E62F02" w:rsidTr="00C876B5">
        <w:trPr>
          <w:trHeight w:val="1410"/>
        </w:trPr>
        <w:tc>
          <w:tcPr>
            <w:tcW w:w="3242" w:type="dxa"/>
            <w:tcBorders>
              <w:bottom w:val="single" w:sz="4" w:space="0" w:color="auto"/>
              <w:right w:val="single" w:sz="4" w:space="0" w:color="auto"/>
            </w:tcBorders>
          </w:tcPr>
          <w:p w:rsidR="00A776D4" w:rsidRPr="00E62F02" w:rsidRDefault="00A776D4" w:rsidP="00C876B5">
            <w:pPr>
              <w:rPr>
                <w:rFonts w:ascii="Times New Roman" w:hAnsi="Times New Roman" w:cs="Times New Roman"/>
                <w:b/>
              </w:rPr>
            </w:pPr>
          </w:p>
          <w:p w:rsidR="00A776D4" w:rsidRPr="00E62F02" w:rsidRDefault="00A776D4" w:rsidP="00C876B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D4" w:rsidRPr="00E62F02" w:rsidRDefault="00A776D4" w:rsidP="00C876B5">
            <w:pPr>
              <w:rPr>
                <w:rFonts w:ascii="Times New Roman" w:hAnsi="Times New Roman" w:cs="Times New Roman"/>
                <w:b/>
              </w:rPr>
            </w:pPr>
            <w:r w:rsidRPr="00E62F02">
              <w:rPr>
                <w:rFonts w:ascii="Times New Roman" w:hAnsi="Times New Roman" w:cs="Times New Roman"/>
                <w:b/>
              </w:rPr>
              <w:t>Non-RV Pacing Dependent at 10 days</w:t>
            </w:r>
          </w:p>
          <w:p w:rsidR="00A776D4" w:rsidRPr="00E62F02" w:rsidRDefault="00A776D4" w:rsidP="00C876B5">
            <w:pPr>
              <w:rPr>
                <w:rFonts w:ascii="Times New Roman" w:hAnsi="Times New Roman" w:cs="Times New Roman"/>
                <w:b/>
              </w:rPr>
            </w:pPr>
            <w:r w:rsidRPr="00E62F02">
              <w:rPr>
                <w:rFonts w:ascii="Times New Roman" w:hAnsi="Times New Roman" w:cs="Times New Roman"/>
                <w:b/>
              </w:rPr>
              <w:t>(</w:t>
            </w:r>
            <w:r w:rsidRPr="00E62F02">
              <w:rPr>
                <w:rFonts w:ascii="Times New Roman" w:hAnsi="Times New Roman" w:cs="Times New Roman"/>
                <w:b/>
                <w:i/>
              </w:rPr>
              <w:t>n</w:t>
            </w:r>
            <w:r>
              <w:rPr>
                <w:rFonts w:ascii="Times New Roman" w:hAnsi="Times New Roman" w:cs="Times New Roman"/>
                <w:b/>
              </w:rPr>
              <w:t xml:space="preserve"> = 8</w:t>
            </w:r>
            <w:r w:rsidRPr="00E62F0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D4" w:rsidRPr="00E62F02" w:rsidRDefault="00A776D4" w:rsidP="00C876B5">
            <w:pPr>
              <w:rPr>
                <w:rFonts w:ascii="Times New Roman" w:hAnsi="Times New Roman" w:cs="Times New Roman"/>
                <w:b/>
              </w:rPr>
            </w:pPr>
            <w:r w:rsidRPr="00E62F02">
              <w:rPr>
                <w:rFonts w:ascii="Times New Roman" w:hAnsi="Times New Roman" w:cs="Times New Roman"/>
                <w:b/>
              </w:rPr>
              <w:t>RV Pacing Dependent at 30 days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776D4" w:rsidRPr="00E62F02" w:rsidRDefault="00A776D4" w:rsidP="00C876B5">
            <w:pPr>
              <w:rPr>
                <w:rFonts w:ascii="Times New Roman" w:hAnsi="Times New Roman" w:cs="Times New Roman"/>
                <w:b/>
              </w:rPr>
            </w:pPr>
            <w:r w:rsidRPr="00E62F02">
              <w:rPr>
                <w:rFonts w:ascii="Times New Roman" w:hAnsi="Times New Roman" w:cs="Times New Roman"/>
                <w:b/>
              </w:rPr>
              <w:t>(</w:t>
            </w:r>
            <w:r w:rsidRPr="00E62F02">
              <w:rPr>
                <w:rFonts w:ascii="Times New Roman" w:hAnsi="Times New Roman" w:cs="Times New Roman"/>
                <w:b/>
                <w:i/>
              </w:rPr>
              <w:t>n</w:t>
            </w:r>
            <w:r w:rsidRPr="00E62F02">
              <w:rPr>
                <w:rFonts w:ascii="Times New Roman" w:hAnsi="Times New Roman" w:cs="Times New Roman"/>
                <w:b/>
              </w:rPr>
              <w:t xml:space="preserve"> = 8)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D4" w:rsidRPr="00E62F02" w:rsidRDefault="00A776D4" w:rsidP="00C876B5">
            <w:pPr>
              <w:rPr>
                <w:rFonts w:ascii="Times New Roman" w:hAnsi="Times New Roman" w:cs="Times New Roman"/>
                <w:b/>
              </w:rPr>
            </w:pPr>
            <w:r w:rsidRPr="00E62F02">
              <w:rPr>
                <w:rFonts w:ascii="Times New Roman" w:hAnsi="Times New Roman" w:cs="Times New Roman"/>
                <w:b/>
                <w:i/>
              </w:rPr>
              <w:t>p</w:t>
            </w:r>
            <w:r w:rsidRPr="00E62F02">
              <w:rPr>
                <w:rFonts w:ascii="Times New Roman" w:hAnsi="Times New Roman" w:cs="Times New Roman"/>
                <w:b/>
              </w:rPr>
              <w:t xml:space="preserve"> value</w:t>
            </w:r>
          </w:p>
        </w:tc>
      </w:tr>
      <w:tr w:rsidR="00A776D4" w:rsidRPr="00AF3BAC" w:rsidTr="00C876B5">
        <w:tblPrEx>
          <w:tblBorders>
            <w:insideV w:val="single" w:sz="4" w:space="0" w:color="auto"/>
          </w:tblBorders>
        </w:tblPrEx>
        <w:trPr>
          <w:trHeight w:val="560"/>
        </w:trPr>
        <w:tc>
          <w:tcPr>
            <w:tcW w:w="3242" w:type="dxa"/>
            <w:tcBorders>
              <w:bottom w:val="nil"/>
              <w:right w:val="single" w:sz="4" w:space="0" w:color="auto"/>
            </w:tcBorders>
          </w:tcPr>
          <w:p w:rsidR="00A776D4" w:rsidRDefault="00A776D4" w:rsidP="00C876B5">
            <w:pPr>
              <w:rPr>
                <w:rFonts w:ascii="Times New Roman" w:hAnsi="Times New Roman" w:cs="Times New Roman"/>
              </w:rPr>
            </w:pPr>
            <w:r w:rsidRPr="00B01FD8">
              <w:rPr>
                <w:rFonts w:ascii="Times New Roman" w:hAnsi="Times New Roman" w:cs="Times New Roman"/>
              </w:rPr>
              <w:t>Mean Attenuation</w:t>
            </w:r>
          </w:p>
          <w:p w:rsidR="00A776D4" w:rsidRPr="00E62F02" w:rsidRDefault="00A776D4" w:rsidP="00C876B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81" w:type="dxa"/>
            <w:tcBorders>
              <w:left w:val="single" w:sz="4" w:space="0" w:color="auto"/>
              <w:bottom w:val="nil"/>
              <w:right w:val="nil"/>
            </w:tcBorders>
          </w:tcPr>
          <w:p w:rsidR="00A776D4" w:rsidRPr="00AF3BAC" w:rsidRDefault="00A776D4" w:rsidP="00C876B5">
            <w:pPr>
              <w:rPr>
                <w:rFonts w:ascii="Times New Roman" w:hAnsi="Times New Roman" w:cs="Times New Roman"/>
              </w:rPr>
            </w:pPr>
            <w:r w:rsidRPr="00AF3BAC">
              <w:rPr>
                <w:rFonts w:ascii="Times New Roman" w:hAnsi="Times New Roman" w:cs="Times New Roman"/>
              </w:rPr>
              <w:t>376.8</w:t>
            </w:r>
            <w:r>
              <w:rPr>
                <w:rFonts w:ascii="Times New Roman" w:hAnsi="Times New Roman" w:cs="Times New Roman"/>
              </w:rPr>
              <w:t>± 99</w:t>
            </w:r>
            <w:r w:rsidRPr="00297ED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73" w:type="dxa"/>
            <w:tcBorders>
              <w:left w:val="nil"/>
              <w:bottom w:val="nil"/>
              <w:right w:val="nil"/>
            </w:tcBorders>
          </w:tcPr>
          <w:p w:rsidR="00A776D4" w:rsidRPr="00AF3BAC" w:rsidRDefault="00A776D4" w:rsidP="00C876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336.6± </w:t>
            </w:r>
            <w:r w:rsidRPr="0043673A">
              <w:rPr>
                <w:rFonts w:ascii="Times New Roman" w:hAnsi="Times New Roman" w:cs="Times New Roman"/>
              </w:rPr>
              <w:t>87.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7" w:type="dxa"/>
            <w:tcBorders>
              <w:left w:val="nil"/>
              <w:bottom w:val="nil"/>
            </w:tcBorders>
          </w:tcPr>
          <w:p w:rsidR="00A776D4" w:rsidRPr="00AF3BAC" w:rsidRDefault="00A776D4" w:rsidP="00C876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</w:t>
            </w:r>
          </w:p>
        </w:tc>
      </w:tr>
      <w:tr w:rsidR="00A776D4" w:rsidRPr="00AF3BAC" w:rsidTr="00C876B5">
        <w:tblPrEx>
          <w:tblBorders>
            <w:insideV w:val="single" w:sz="4" w:space="0" w:color="auto"/>
          </w:tblBorders>
        </w:tblPrEx>
        <w:trPr>
          <w:trHeight w:val="539"/>
        </w:trPr>
        <w:tc>
          <w:tcPr>
            <w:tcW w:w="3242" w:type="dxa"/>
            <w:tcBorders>
              <w:top w:val="nil"/>
              <w:bottom w:val="nil"/>
              <w:right w:val="single" w:sz="4" w:space="0" w:color="auto"/>
            </w:tcBorders>
          </w:tcPr>
          <w:p w:rsidR="00A776D4" w:rsidRDefault="00A776D4" w:rsidP="00C876B5">
            <w:pPr>
              <w:rPr>
                <w:rFonts w:ascii="Times New Roman" w:hAnsi="Times New Roman" w:cs="Times New Roman"/>
              </w:rPr>
            </w:pPr>
            <w:r w:rsidRPr="00B01FD8">
              <w:rPr>
                <w:rFonts w:ascii="Times New Roman" w:hAnsi="Times New Roman" w:cs="Times New Roman"/>
              </w:rPr>
              <w:lastRenderedPageBreak/>
              <w:t>HU Cutoff</w:t>
            </w:r>
          </w:p>
          <w:p w:rsidR="00A776D4" w:rsidRPr="00E62F02" w:rsidRDefault="00A776D4" w:rsidP="00C876B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76D4" w:rsidRPr="00AF3BAC" w:rsidRDefault="00A776D4" w:rsidP="00C876B5">
            <w:pPr>
              <w:rPr>
                <w:rFonts w:ascii="Times New Roman" w:hAnsi="Times New Roman" w:cs="Times New Roman"/>
              </w:rPr>
            </w:pPr>
            <w:r w:rsidRPr="00AF3BAC">
              <w:rPr>
                <w:rFonts w:ascii="Times New Roman" w:hAnsi="Times New Roman" w:cs="Times New Roman"/>
              </w:rPr>
              <w:t>559.9</w:t>
            </w:r>
            <w:r>
              <w:rPr>
                <w:rFonts w:ascii="Times New Roman" w:hAnsi="Times New Roman" w:cs="Times New Roman"/>
              </w:rPr>
              <w:t>±</w:t>
            </w:r>
            <w:r w:rsidRPr="00297ED0">
              <w:rPr>
                <w:rFonts w:ascii="Times New Roman" w:hAnsi="Times New Roman" w:cs="Times New Roman"/>
              </w:rPr>
              <w:t xml:space="preserve"> 27.9</w:t>
            </w: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</w:tcPr>
          <w:p w:rsidR="00A776D4" w:rsidRPr="00AF3BAC" w:rsidRDefault="00A776D4" w:rsidP="00C876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525± </w:t>
            </w:r>
            <w:r w:rsidRPr="0043673A">
              <w:rPr>
                <w:rFonts w:ascii="Times New Roman" w:hAnsi="Times New Roman" w:cs="Times New Roman"/>
              </w:rPr>
              <w:t>70.7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</w:tcBorders>
          </w:tcPr>
          <w:p w:rsidR="00A776D4" w:rsidRPr="00AF3BAC" w:rsidRDefault="00A776D4" w:rsidP="00C876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0.22</w:t>
            </w:r>
          </w:p>
        </w:tc>
      </w:tr>
      <w:tr w:rsidR="00A776D4" w:rsidRPr="00AF3BAC" w:rsidTr="00C876B5">
        <w:tblPrEx>
          <w:tblBorders>
            <w:insideV w:val="single" w:sz="4" w:space="0" w:color="auto"/>
          </w:tblBorders>
        </w:tblPrEx>
        <w:trPr>
          <w:trHeight w:val="850"/>
        </w:trPr>
        <w:tc>
          <w:tcPr>
            <w:tcW w:w="3242" w:type="dxa"/>
            <w:tcBorders>
              <w:top w:val="nil"/>
              <w:bottom w:val="nil"/>
              <w:right w:val="single" w:sz="4" w:space="0" w:color="auto"/>
            </w:tcBorders>
          </w:tcPr>
          <w:p w:rsidR="00A776D4" w:rsidRDefault="00A776D4" w:rsidP="00C876B5">
            <w:pPr>
              <w:rPr>
                <w:rFonts w:ascii="Times New Roman" w:hAnsi="Times New Roman" w:cs="Times New Roman"/>
              </w:rPr>
            </w:pPr>
            <w:r w:rsidRPr="00B01FD8">
              <w:rPr>
                <w:rFonts w:ascii="Times New Roman" w:hAnsi="Times New Roman" w:cs="Times New Roman"/>
              </w:rPr>
              <w:t>Total Calcium Volume</w:t>
            </w:r>
          </w:p>
          <w:p w:rsidR="00A776D4" w:rsidRPr="00E62F02" w:rsidRDefault="00A776D4" w:rsidP="00C876B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76D4" w:rsidRPr="00AF3BAC" w:rsidRDefault="00A776D4" w:rsidP="00C876B5">
            <w:pPr>
              <w:rPr>
                <w:rFonts w:ascii="Times New Roman" w:hAnsi="Times New Roman" w:cs="Times New Roman"/>
              </w:rPr>
            </w:pPr>
            <w:r w:rsidRPr="00AF3BAC">
              <w:rPr>
                <w:rFonts w:ascii="Times New Roman" w:hAnsi="Times New Roman" w:cs="Times New Roman"/>
              </w:rPr>
              <w:t>416.1</w:t>
            </w:r>
            <w:r>
              <w:rPr>
                <w:rFonts w:ascii="Times New Roman" w:hAnsi="Times New Roman" w:cs="Times New Roman"/>
              </w:rPr>
              <w:t xml:space="preserve">± </w:t>
            </w:r>
            <w:r w:rsidRPr="00297ED0">
              <w:rPr>
                <w:rFonts w:ascii="Times New Roman" w:hAnsi="Times New Roman" w:cs="Times New Roman"/>
              </w:rPr>
              <w:t>301.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</w:tcPr>
          <w:p w:rsidR="00A776D4" w:rsidRPr="00AF3BAC" w:rsidRDefault="00A776D4" w:rsidP="00C876B5">
            <w:pPr>
              <w:rPr>
                <w:rFonts w:ascii="Times New Roman" w:hAnsi="Times New Roman" w:cs="Times New Roman"/>
              </w:rPr>
            </w:pPr>
            <w:r w:rsidRPr="00AF3BA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783.5±</w:t>
            </w:r>
            <w:r w:rsidRPr="0043673A">
              <w:rPr>
                <w:rFonts w:ascii="Times New Roman" w:hAnsi="Times New Roman" w:cs="Times New Roman"/>
              </w:rPr>
              <w:t xml:space="preserve"> 622.1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</w:tcBorders>
          </w:tcPr>
          <w:p w:rsidR="00A776D4" w:rsidRPr="00AF3BAC" w:rsidRDefault="00A776D4" w:rsidP="00C876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0.15</w:t>
            </w:r>
          </w:p>
        </w:tc>
      </w:tr>
      <w:tr w:rsidR="00A776D4" w:rsidRPr="00AF3BAC" w:rsidTr="00C876B5">
        <w:tblPrEx>
          <w:tblBorders>
            <w:insideV w:val="single" w:sz="4" w:space="0" w:color="auto"/>
          </w:tblBorders>
        </w:tblPrEx>
        <w:trPr>
          <w:trHeight w:val="829"/>
        </w:trPr>
        <w:tc>
          <w:tcPr>
            <w:tcW w:w="3242" w:type="dxa"/>
            <w:tcBorders>
              <w:top w:val="nil"/>
              <w:bottom w:val="nil"/>
              <w:right w:val="single" w:sz="4" w:space="0" w:color="auto"/>
            </w:tcBorders>
          </w:tcPr>
          <w:p w:rsidR="00A776D4" w:rsidRDefault="00A776D4" w:rsidP="00C876B5">
            <w:pPr>
              <w:rPr>
                <w:rFonts w:ascii="Times New Roman" w:hAnsi="Times New Roman" w:cs="Times New Roman"/>
              </w:rPr>
            </w:pPr>
            <w:r w:rsidRPr="00B01FD8">
              <w:rPr>
                <w:rFonts w:ascii="Times New Roman" w:hAnsi="Times New Roman" w:cs="Times New Roman"/>
              </w:rPr>
              <w:t>LVOT Calcium volume</w:t>
            </w:r>
          </w:p>
          <w:p w:rsidR="00A776D4" w:rsidRPr="00E62F02" w:rsidRDefault="00A776D4" w:rsidP="00C876B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76D4" w:rsidRPr="00AF3BAC" w:rsidRDefault="00A776D4" w:rsidP="00C876B5">
            <w:pPr>
              <w:rPr>
                <w:rFonts w:ascii="Times New Roman" w:hAnsi="Times New Roman" w:cs="Times New Roman"/>
              </w:rPr>
            </w:pPr>
            <w:r w:rsidRPr="00AF3BAC">
              <w:rPr>
                <w:rFonts w:ascii="Times New Roman" w:hAnsi="Times New Roman" w:cs="Times New Roman"/>
              </w:rPr>
              <w:t>30.1</w:t>
            </w:r>
            <w:r>
              <w:rPr>
                <w:rFonts w:ascii="Times New Roman" w:hAnsi="Times New Roman" w:cs="Times New Roman"/>
              </w:rPr>
              <w:t>±</w:t>
            </w:r>
            <w:r w:rsidRPr="00297ED0">
              <w:rPr>
                <w:rFonts w:ascii="Times New Roman" w:hAnsi="Times New Roman" w:cs="Times New Roman"/>
              </w:rPr>
              <w:t xml:space="preserve"> 29.7</w:t>
            </w: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</w:tcPr>
          <w:p w:rsidR="00A776D4" w:rsidRPr="00AF3BAC" w:rsidRDefault="00A776D4" w:rsidP="00C876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102.9± 202.8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</w:tcBorders>
          </w:tcPr>
          <w:p w:rsidR="00A776D4" w:rsidRPr="00AF3BAC" w:rsidRDefault="00A776D4" w:rsidP="00C876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0.33</w:t>
            </w:r>
          </w:p>
        </w:tc>
      </w:tr>
      <w:tr w:rsidR="00A776D4" w:rsidRPr="00AF3BAC" w:rsidTr="00C876B5">
        <w:tblPrEx>
          <w:tblBorders>
            <w:insideV w:val="single" w:sz="4" w:space="0" w:color="auto"/>
          </w:tblBorders>
        </w:tblPrEx>
        <w:trPr>
          <w:trHeight w:val="850"/>
        </w:trPr>
        <w:tc>
          <w:tcPr>
            <w:tcW w:w="3242" w:type="dxa"/>
            <w:tcBorders>
              <w:top w:val="nil"/>
              <w:bottom w:val="nil"/>
              <w:right w:val="single" w:sz="4" w:space="0" w:color="auto"/>
            </w:tcBorders>
          </w:tcPr>
          <w:p w:rsidR="00A776D4" w:rsidRDefault="00A776D4" w:rsidP="00C876B5">
            <w:pPr>
              <w:rPr>
                <w:rFonts w:ascii="Times New Roman" w:hAnsi="Times New Roman" w:cs="Times New Roman"/>
              </w:rPr>
            </w:pPr>
            <w:r w:rsidRPr="00B01FD8">
              <w:rPr>
                <w:rFonts w:ascii="Times New Roman" w:hAnsi="Times New Roman" w:cs="Times New Roman"/>
              </w:rPr>
              <w:t>Annul</w:t>
            </w:r>
            <w:r>
              <w:rPr>
                <w:rFonts w:ascii="Times New Roman" w:hAnsi="Times New Roman" w:cs="Times New Roman"/>
              </w:rPr>
              <w:t>u</w:t>
            </w:r>
            <w:r w:rsidRPr="00B01FD8">
              <w:rPr>
                <w:rFonts w:ascii="Times New Roman" w:hAnsi="Times New Roman" w:cs="Times New Roman"/>
              </w:rPr>
              <w:t>s Calcium volume</w:t>
            </w:r>
          </w:p>
          <w:p w:rsidR="00A776D4" w:rsidRPr="00E62F02" w:rsidRDefault="00A776D4" w:rsidP="00C876B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76D4" w:rsidRPr="00AF3BAC" w:rsidRDefault="00A776D4" w:rsidP="00C876B5">
            <w:pPr>
              <w:rPr>
                <w:rFonts w:ascii="Times New Roman" w:hAnsi="Times New Roman" w:cs="Times New Roman"/>
              </w:rPr>
            </w:pPr>
            <w:r w:rsidRPr="00AF3BAC">
              <w:rPr>
                <w:rFonts w:ascii="Times New Roman" w:hAnsi="Times New Roman" w:cs="Times New Roman"/>
              </w:rPr>
              <w:t>90.8</w:t>
            </w:r>
            <w:r>
              <w:rPr>
                <w:rFonts w:ascii="Times New Roman" w:hAnsi="Times New Roman" w:cs="Times New Roman"/>
              </w:rPr>
              <w:t>±</w:t>
            </w:r>
            <w:r w:rsidRPr="00297ED0">
              <w:rPr>
                <w:rFonts w:ascii="Times New Roman" w:hAnsi="Times New Roman" w:cs="Times New Roman"/>
              </w:rPr>
              <w:t xml:space="preserve"> 63.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</w:tcPr>
          <w:p w:rsidR="00A776D4" w:rsidRPr="00AF3BAC" w:rsidRDefault="00A776D4" w:rsidP="00C876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117.9±</w:t>
            </w:r>
            <w:r w:rsidRPr="0043673A">
              <w:rPr>
                <w:rFonts w:ascii="Times New Roman" w:hAnsi="Times New Roman" w:cs="Times New Roman"/>
              </w:rPr>
              <w:t xml:space="preserve"> 120.6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</w:tcBorders>
          </w:tcPr>
          <w:p w:rsidR="00A776D4" w:rsidRPr="00AF3BAC" w:rsidRDefault="00A776D4" w:rsidP="00C876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0.58</w:t>
            </w:r>
          </w:p>
        </w:tc>
      </w:tr>
      <w:tr w:rsidR="00A776D4" w:rsidRPr="00AF3BAC" w:rsidTr="00C876B5">
        <w:tblPrEx>
          <w:tblBorders>
            <w:insideV w:val="single" w:sz="4" w:space="0" w:color="auto"/>
          </w:tblBorders>
        </w:tblPrEx>
        <w:trPr>
          <w:trHeight w:val="829"/>
        </w:trPr>
        <w:tc>
          <w:tcPr>
            <w:tcW w:w="3242" w:type="dxa"/>
            <w:tcBorders>
              <w:top w:val="nil"/>
              <w:bottom w:val="nil"/>
              <w:right w:val="single" w:sz="4" w:space="0" w:color="auto"/>
            </w:tcBorders>
          </w:tcPr>
          <w:p w:rsidR="00A776D4" w:rsidRDefault="00A776D4" w:rsidP="00C876B5">
            <w:pPr>
              <w:rPr>
                <w:rFonts w:ascii="Times New Roman" w:hAnsi="Times New Roman" w:cs="Times New Roman"/>
              </w:rPr>
            </w:pPr>
            <w:r w:rsidRPr="00B01FD8">
              <w:rPr>
                <w:rFonts w:ascii="Times New Roman" w:hAnsi="Times New Roman" w:cs="Times New Roman"/>
              </w:rPr>
              <w:t>RCC Leaflet Calcium Volume</w:t>
            </w:r>
          </w:p>
          <w:p w:rsidR="00A776D4" w:rsidRPr="00E62F02" w:rsidRDefault="00A776D4" w:rsidP="00C876B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76D4" w:rsidRPr="00AF3BAC" w:rsidRDefault="00A776D4" w:rsidP="00C876B5">
            <w:pPr>
              <w:rPr>
                <w:rFonts w:ascii="Times New Roman" w:hAnsi="Times New Roman" w:cs="Times New Roman"/>
              </w:rPr>
            </w:pPr>
            <w:r w:rsidRPr="00AF3BAC">
              <w:rPr>
                <w:rFonts w:ascii="Times New Roman" w:hAnsi="Times New Roman" w:cs="Times New Roman"/>
              </w:rPr>
              <w:t>108.4</w:t>
            </w:r>
            <w:r>
              <w:rPr>
                <w:rFonts w:ascii="Times New Roman" w:hAnsi="Times New Roman" w:cs="Times New Roman"/>
              </w:rPr>
              <w:t>±</w:t>
            </w:r>
            <w:r w:rsidRPr="00297ED0">
              <w:rPr>
                <w:rFonts w:ascii="Times New Roman" w:hAnsi="Times New Roman" w:cs="Times New Roman"/>
              </w:rPr>
              <w:t>140.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</w:tcPr>
          <w:p w:rsidR="00A776D4" w:rsidRPr="00AF3BAC" w:rsidRDefault="00A776D4" w:rsidP="00C876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119.7±</w:t>
            </w:r>
            <w:r w:rsidRPr="0043673A">
              <w:rPr>
                <w:rFonts w:ascii="Times New Roman" w:hAnsi="Times New Roman" w:cs="Times New Roman"/>
              </w:rPr>
              <w:t>121.5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</w:tcBorders>
          </w:tcPr>
          <w:p w:rsidR="00A776D4" w:rsidRPr="00AF3BAC" w:rsidRDefault="00A776D4" w:rsidP="00C876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0.87</w:t>
            </w:r>
          </w:p>
        </w:tc>
      </w:tr>
      <w:tr w:rsidR="00A776D4" w:rsidRPr="00AF3BAC" w:rsidTr="00C876B5">
        <w:tblPrEx>
          <w:tblBorders>
            <w:insideV w:val="single" w:sz="4" w:space="0" w:color="auto"/>
          </w:tblBorders>
        </w:tblPrEx>
        <w:trPr>
          <w:trHeight w:val="829"/>
        </w:trPr>
        <w:tc>
          <w:tcPr>
            <w:tcW w:w="3242" w:type="dxa"/>
            <w:tcBorders>
              <w:top w:val="nil"/>
              <w:bottom w:val="nil"/>
              <w:right w:val="single" w:sz="4" w:space="0" w:color="auto"/>
            </w:tcBorders>
          </w:tcPr>
          <w:p w:rsidR="00A776D4" w:rsidRDefault="00A776D4" w:rsidP="00C876B5">
            <w:pPr>
              <w:rPr>
                <w:rFonts w:ascii="Times New Roman" w:hAnsi="Times New Roman" w:cs="Times New Roman"/>
              </w:rPr>
            </w:pPr>
            <w:r w:rsidRPr="00B01FD8">
              <w:rPr>
                <w:rFonts w:ascii="Times New Roman" w:hAnsi="Times New Roman" w:cs="Times New Roman"/>
              </w:rPr>
              <w:t>NCC Leaflet Calcium Volume</w:t>
            </w:r>
          </w:p>
          <w:p w:rsidR="00A776D4" w:rsidRPr="00E62F02" w:rsidRDefault="00A776D4" w:rsidP="00C876B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76D4" w:rsidRPr="00AF3BAC" w:rsidRDefault="00A776D4" w:rsidP="00C876B5">
            <w:pPr>
              <w:tabs>
                <w:tab w:val="right" w:pos="1965"/>
              </w:tabs>
              <w:rPr>
                <w:rFonts w:ascii="Times New Roman" w:hAnsi="Times New Roman" w:cs="Times New Roman"/>
              </w:rPr>
            </w:pPr>
            <w:r w:rsidRPr="00AF3BAC">
              <w:rPr>
                <w:rFonts w:ascii="Times New Roman" w:hAnsi="Times New Roman" w:cs="Times New Roman"/>
              </w:rPr>
              <w:t>113.5</w:t>
            </w:r>
            <w:r>
              <w:rPr>
                <w:rFonts w:ascii="Times New Roman" w:hAnsi="Times New Roman" w:cs="Times New Roman"/>
              </w:rPr>
              <w:t xml:space="preserve">± </w:t>
            </w:r>
            <w:r w:rsidRPr="00297ED0">
              <w:rPr>
                <w:rFonts w:ascii="Times New Roman" w:hAnsi="Times New Roman" w:cs="Times New Roman"/>
              </w:rPr>
              <w:t>67.3</w:t>
            </w: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</w:tcPr>
          <w:p w:rsidR="00A776D4" w:rsidRPr="00AF3BAC" w:rsidRDefault="00A776D4" w:rsidP="00C876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342.0±</w:t>
            </w:r>
            <w:r w:rsidRPr="0043673A">
              <w:rPr>
                <w:rFonts w:ascii="Times New Roman" w:hAnsi="Times New Roman" w:cs="Times New Roman"/>
              </w:rPr>
              <w:t xml:space="preserve"> 290.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</w:tcBorders>
          </w:tcPr>
          <w:p w:rsidR="00A776D4" w:rsidRPr="00AF3BAC" w:rsidRDefault="00A776D4" w:rsidP="00C876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0.048</w:t>
            </w:r>
          </w:p>
        </w:tc>
      </w:tr>
      <w:tr w:rsidR="00A776D4" w:rsidRPr="00AF3BAC" w:rsidTr="00C876B5">
        <w:tblPrEx>
          <w:tblBorders>
            <w:insideV w:val="single" w:sz="4" w:space="0" w:color="auto"/>
          </w:tblBorders>
        </w:tblPrEx>
        <w:trPr>
          <w:trHeight w:val="850"/>
        </w:trPr>
        <w:tc>
          <w:tcPr>
            <w:tcW w:w="3242" w:type="dxa"/>
            <w:tcBorders>
              <w:top w:val="nil"/>
              <w:bottom w:val="nil"/>
              <w:right w:val="single" w:sz="4" w:space="0" w:color="auto"/>
            </w:tcBorders>
          </w:tcPr>
          <w:p w:rsidR="00A776D4" w:rsidRDefault="00A776D4" w:rsidP="00C876B5">
            <w:pPr>
              <w:rPr>
                <w:rFonts w:ascii="Times New Roman" w:hAnsi="Times New Roman" w:cs="Times New Roman"/>
              </w:rPr>
            </w:pPr>
            <w:r w:rsidRPr="00B01FD8">
              <w:rPr>
                <w:rFonts w:ascii="Times New Roman" w:hAnsi="Times New Roman" w:cs="Times New Roman"/>
              </w:rPr>
              <w:t>LCC Leaflet Calcium Volume</w:t>
            </w:r>
          </w:p>
          <w:p w:rsidR="00A776D4" w:rsidRPr="00E62F02" w:rsidRDefault="00A776D4" w:rsidP="00C876B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76D4" w:rsidRPr="00AF3BAC" w:rsidRDefault="00A776D4" w:rsidP="00C876B5">
            <w:pPr>
              <w:rPr>
                <w:rFonts w:ascii="Times New Roman" w:hAnsi="Times New Roman" w:cs="Times New Roman"/>
              </w:rPr>
            </w:pPr>
            <w:r w:rsidRPr="00AF3BAC">
              <w:rPr>
                <w:rFonts w:ascii="Times New Roman" w:hAnsi="Times New Roman" w:cs="Times New Roman"/>
              </w:rPr>
              <w:t>91.7</w:t>
            </w:r>
            <w:r>
              <w:rPr>
                <w:rFonts w:ascii="Times New Roman" w:hAnsi="Times New Roman" w:cs="Times New Roman"/>
              </w:rPr>
              <w:t xml:space="preserve">± </w:t>
            </w:r>
            <w:r w:rsidRPr="00297ED0">
              <w:rPr>
                <w:rFonts w:ascii="Times New Roman" w:hAnsi="Times New Roman" w:cs="Times New Roman"/>
              </w:rPr>
              <w:t>90.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</w:tcPr>
          <w:p w:rsidR="00A776D4" w:rsidRPr="00AF3BAC" w:rsidRDefault="00A776D4" w:rsidP="00C876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139.9±132.7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</w:tcBorders>
          </w:tcPr>
          <w:p w:rsidR="00A776D4" w:rsidRPr="00AF3BAC" w:rsidRDefault="00A776D4" w:rsidP="00C876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</w:t>
            </w:r>
          </w:p>
        </w:tc>
      </w:tr>
      <w:tr w:rsidR="00A776D4" w:rsidRPr="00AF3BAC" w:rsidTr="00C876B5">
        <w:tblPrEx>
          <w:tblBorders>
            <w:insideV w:val="single" w:sz="4" w:space="0" w:color="auto"/>
          </w:tblBorders>
        </w:tblPrEx>
        <w:trPr>
          <w:trHeight w:val="560"/>
        </w:trPr>
        <w:tc>
          <w:tcPr>
            <w:tcW w:w="3242" w:type="dxa"/>
            <w:tcBorders>
              <w:top w:val="nil"/>
              <w:right w:val="single" w:sz="4" w:space="0" w:color="auto"/>
            </w:tcBorders>
          </w:tcPr>
          <w:p w:rsidR="00A776D4" w:rsidRPr="00E62F02" w:rsidRDefault="00A776D4" w:rsidP="00C876B5">
            <w:pPr>
              <w:rPr>
                <w:rFonts w:ascii="Times New Roman" w:hAnsi="Times New Roman" w:cs="Times New Roman"/>
                <w:b/>
              </w:rPr>
            </w:pPr>
            <w:r w:rsidRPr="00B01FD8">
              <w:rPr>
                <w:rFonts w:ascii="Times New Roman" w:hAnsi="Times New Roman" w:cs="Times New Roman"/>
              </w:rPr>
              <w:t>Total leaflet Calcium Volume</w:t>
            </w:r>
          </w:p>
        </w:tc>
        <w:tc>
          <w:tcPr>
            <w:tcW w:w="2181" w:type="dxa"/>
            <w:tcBorders>
              <w:top w:val="nil"/>
              <w:left w:val="single" w:sz="4" w:space="0" w:color="auto"/>
              <w:right w:val="nil"/>
            </w:tcBorders>
          </w:tcPr>
          <w:p w:rsidR="00A776D4" w:rsidRPr="00AF3BAC" w:rsidRDefault="00A776D4" w:rsidP="00C876B5">
            <w:pPr>
              <w:rPr>
                <w:rFonts w:ascii="Times New Roman" w:hAnsi="Times New Roman" w:cs="Times New Roman"/>
              </w:rPr>
            </w:pPr>
            <w:r w:rsidRPr="00AF3BAC">
              <w:rPr>
                <w:rFonts w:ascii="Times New Roman" w:hAnsi="Times New Roman" w:cs="Times New Roman"/>
              </w:rPr>
              <w:t>313.6</w:t>
            </w:r>
            <w:r>
              <w:rPr>
                <w:rFonts w:ascii="Times New Roman" w:hAnsi="Times New Roman" w:cs="Times New Roman"/>
              </w:rPr>
              <w:t xml:space="preserve">± </w:t>
            </w:r>
            <w:r w:rsidRPr="00297ED0">
              <w:rPr>
                <w:rFonts w:ascii="Times New Roman" w:hAnsi="Times New Roman" w:cs="Times New Roman"/>
              </w:rPr>
              <w:t>279.2</w:t>
            </w:r>
          </w:p>
        </w:tc>
        <w:tc>
          <w:tcPr>
            <w:tcW w:w="2573" w:type="dxa"/>
            <w:tcBorders>
              <w:top w:val="nil"/>
              <w:left w:val="nil"/>
              <w:right w:val="nil"/>
            </w:tcBorders>
          </w:tcPr>
          <w:p w:rsidR="00A776D4" w:rsidRPr="00AF3BAC" w:rsidRDefault="00A776D4" w:rsidP="00C876B5">
            <w:pPr>
              <w:rPr>
                <w:rFonts w:ascii="Times New Roman" w:hAnsi="Times New Roman" w:cs="Times New Roman"/>
              </w:rPr>
            </w:pPr>
            <w:r w:rsidRPr="00AF3BA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601.6±</w:t>
            </w:r>
            <w:r w:rsidRPr="0043673A">
              <w:rPr>
                <w:rFonts w:ascii="Times New Roman" w:hAnsi="Times New Roman" w:cs="Times New Roman"/>
              </w:rPr>
              <w:t xml:space="preserve"> 504.9</w:t>
            </w:r>
          </w:p>
        </w:tc>
        <w:tc>
          <w:tcPr>
            <w:tcW w:w="1287" w:type="dxa"/>
            <w:tcBorders>
              <w:top w:val="nil"/>
              <w:left w:val="nil"/>
            </w:tcBorders>
          </w:tcPr>
          <w:p w:rsidR="00A776D4" w:rsidRPr="00AF3BAC" w:rsidRDefault="00A776D4" w:rsidP="00C876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0.18</w:t>
            </w:r>
          </w:p>
        </w:tc>
      </w:tr>
    </w:tbl>
    <w:p w:rsidR="00A776D4" w:rsidRDefault="00A776D4" w:rsidP="00A776D4">
      <w:pPr>
        <w:rPr>
          <w:rFonts w:ascii="Times New Roman" w:hAnsi="Times New Roman" w:cs="Times New Roman"/>
        </w:rPr>
      </w:pPr>
    </w:p>
    <w:p w:rsidR="00A776D4" w:rsidRPr="00A776D4" w:rsidRDefault="00A776D4" w:rsidP="00A776D4">
      <w:r>
        <w:rPr>
          <w:b/>
        </w:rPr>
        <w:t>C.</w:t>
      </w:r>
      <w:r w:rsidRPr="00C02C02">
        <w:t xml:space="preserve"> </w:t>
      </w:r>
      <w:r>
        <w:t>Aortic Valve Complex Calcification in Patients with Late Recovery of Conduction and No Recovery of Conduction.</w:t>
      </w:r>
    </w:p>
    <w:tbl>
      <w:tblPr>
        <w:tblStyle w:val="TableGrid"/>
        <w:tblW w:w="9283" w:type="dxa"/>
        <w:tblBorders>
          <w:insideV w:val="none" w:sz="0" w:space="0" w:color="auto"/>
        </w:tblBorders>
        <w:tblLayout w:type="fixed"/>
        <w:tblLook w:val="04A0"/>
      </w:tblPr>
      <w:tblGrid>
        <w:gridCol w:w="3242"/>
        <w:gridCol w:w="2181"/>
        <w:gridCol w:w="2573"/>
        <w:gridCol w:w="1287"/>
      </w:tblGrid>
      <w:tr w:rsidR="00A776D4" w:rsidRPr="00E62F02" w:rsidTr="00C876B5">
        <w:trPr>
          <w:trHeight w:val="1410"/>
        </w:trPr>
        <w:tc>
          <w:tcPr>
            <w:tcW w:w="3242" w:type="dxa"/>
            <w:tcBorders>
              <w:bottom w:val="single" w:sz="4" w:space="0" w:color="auto"/>
              <w:right w:val="single" w:sz="4" w:space="0" w:color="auto"/>
            </w:tcBorders>
          </w:tcPr>
          <w:p w:rsidR="00A776D4" w:rsidRPr="00E62F02" w:rsidRDefault="00A776D4" w:rsidP="00C876B5">
            <w:pPr>
              <w:rPr>
                <w:rFonts w:ascii="Times New Roman" w:hAnsi="Times New Roman" w:cs="Times New Roman"/>
                <w:b/>
              </w:rPr>
            </w:pPr>
          </w:p>
          <w:p w:rsidR="00A776D4" w:rsidRPr="00E62F02" w:rsidRDefault="00A776D4" w:rsidP="00C876B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D4" w:rsidRPr="00E62F02" w:rsidRDefault="00A776D4" w:rsidP="00C876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Non-RV Pacing Dependent at 3</w:t>
            </w:r>
            <w:r w:rsidRPr="00E62F02">
              <w:rPr>
                <w:rFonts w:ascii="Times New Roman" w:hAnsi="Times New Roman" w:cs="Times New Roman"/>
                <w:b/>
              </w:rPr>
              <w:t>0 days</w:t>
            </w:r>
            <w:r>
              <w:rPr>
                <w:rFonts w:ascii="Times New Roman" w:hAnsi="Times New Roman" w:cs="Times New Roman"/>
                <w:b/>
              </w:rPr>
              <w:t xml:space="preserve"> but RV Pacing Dependent at 10 days</w:t>
            </w:r>
          </w:p>
          <w:p w:rsidR="00A776D4" w:rsidRPr="00E62F02" w:rsidRDefault="00A776D4" w:rsidP="00C876B5">
            <w:pPr>
              <w:rPr>
                <w:rFonts w:ascii="Times New Roman" w:hAnsi="Times New Roman" w:cs="Times New Roman"/>
                <w:b/>
              </w:rPr>
            </w:pPr>
            <w:r w:rsidRPr="00E62F02">
              <w:rPr>
                <w:rFonts w:ascii="Times New Roman" w:hAnsi="Times New Roman" w:cs="Times New Roman"/>
                <w:b/>
              </w:rPr>
              <w:t>(</w:t>
            </w:r>
            <w:r w:rsidRPr="00E62F02">
              <w:rPr>
                <w:rFonts w:ascii="Times New Roman" w:hAnsi="Times New Roman" w:cs="Times New Roman"/>
                <w:b/>
                <w:i/>
              </w:rPr>
              <w:t>n</w:t>
            </w:r>
            <w:r>
              <w:rPr>
                <w:rFonts w:ascii="Times New Roman" w:hAnsi="Times New Roman" w:cs="Times New Roman"/>
                <w:b/>
              </w:rPr>
              <w:t xml:space="preserve"> = 8</w:t>
            </w:r>
            <w:r w:rsidRPr="00E62F0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D4" w:rsidRPr="00E62F02" w:rsidRDefault="00A776D4" w:rsidP="00C876B5">
            <w:pPr>
              <w:rPr>
                <w:rFonts w:ascii="Times New Roman" w:hAnsi="Times New Roman" w:cs="Times New Roman"/>
                <w:b/>
              </w:rPr>
            </w:pPr>
            <w:r w:rsidRPr="00E62F02">
              <w:rPr>
                <w:rFonts w:ascii="Times New Roman" w:hAnsi="Times New Roman" w:cs="Times New Roman"/>
                <w:b/>
              </w:rPr>
              <w:t>RV Pacing Dependent at 30 days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776D4" w:rsidRPr="00E62F02" w:rsidRDefault="00A776D4" w:rsidP="00C876B5">
            <w:pPr>
              <w:rPr>
                <w:rFonts w:ascii="Times New Roman" w:hAnsi="Times New Roman" w:cs="Times New Roman"/>
                <w:b/>
              </w:rPr>
            </w:pPr>
            <w:r w:rsidRPr="00E62F02">
              <w:rPr>
                <w:rFonts w:ascii="Times New Roman" w:hAnsi="Times New Roman" w:cs="Times New Roman"/>
                <w:b/>
              </w:rPr>
              <w:t>(</w:t>
            </w:r>
            <w:r w:rsidRPr="00E62F02">
              <w:rPr>
                <w:rFonts w:ascii="Times New Roman" w:hAnsi="Times New Roman" w:cs="Times New Roman"/>
                <w:b/>
                <w:i/>
              </w:rPr>
              <w:t>n</w:t>
            </w:r>
            <w:r w:rsidRPr="00E62F02">
              <w:rPr>
                <w:rFonts w:ascii="Times New Roman" w:hAnsi="Times New Roman" w:cs="Times New Roman"/>
                <w:b/>
              </w:rPr>
              <w:t xml:space="preserve"> = 8)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D4" w:rsidRPr="00E62F02" w:rsidRDefault="00A776D4" w:rsidP="00C876B5">
            <w:pPr>
              <w:rPr>
                <w:rFonts w:ascii="Times New Roman" w:hAnsi="Times New Roman" w:cs="Times New Roman"/>
                <w:b/>
              </w:rPr>
            </w:pPr>
            <w:r w:rsidRPr="00E62F02">
              <w:rPr>
                <w:rFonts w:ascii="Times New Roman" w:hAnsi="Times New Roman" w:cs="Times New Roman"/>
                <w:b/>
                <w:i/>
              </w:rPr>
              <w:t>p</w:t>
            </w:r>
            <w:r w:rsidRPr="00E62F02">
              <w:rPr>
                <w:rFonts w:ascii="Times New Roman" w:hAnsi="Times New Roman" w:cs="Times New Roman"/>
                <w:b/>
              </w:rPr>
              <w:t xml:space="preserve"> value</w:t>
            </w:r>
          </w:p>
        </w:tc>
      </w:tr>
      <w:tr w:rsidR="00A776D4" w:rsidRPr="00AF3BAC" w:rsidTr="00C876B5">
        <w:tblPrEx>
          <w:tblBorders>
            <w:insideV w:val="single" w:sz="4" w:space="0" w:color="auto"/>
          </w:tblBorders>
        </w:tblPrEx>
        <w:trPr>
          <w:trHeight w:val="560"/>
        </w:trPr>
        <w:tc>
          <w:tcPr>
            <w:tcW w:w="3242" w:type="dxa"/>
            <w:tcBorders>
              <w:bottom w:val="nil"/>
            </w:tcBorders>
          </w:tcPr>
          <w:p w:rsidR="00A776D4" w:rsidRDefault="00A776D4" w:rsidP="00C876B5">
            <w:pPr>
              <w:rPr>
                <w:rFonts w:ascii="Times New Roman" w:hAnsi="Times New Roman" w:cs="Times New Roman"/>
              </w:rPr>
            </w:pPr>
            <w:r w:rsidRPr="00B01FD8">
              <w:rPr>
                <w:rFonts w:ascii="Times New Roman" w:hAnsi="Times New Roman" w:cs="Times New Roman"/>
              </w:rPr>
              <w:t>Mean Attenuation</w:t>
            </w:r>
          </w:p>
          <w:p w:rsidR="00A776D4" w:rsidRPr="00E62F02" w:rsidRDefault="00A776D4" w:rsidP="00C876B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81" w:type="dxa"/>
            <w:tcBorders>
              <w:bottom w:val="nil"/>
              <w:right w:val="nil"/>
            </w:tcBorders>
          </w:tcPr>
          <w:p w:rsidR="00A776D4" w:rsidRPr="00AF3BAC" w:rsidRDefault="00A776D4" w:rsidP="00C876B5">
            <w:pPr>
              <w:rPr>
                <w:rFonts w:ascii="Times New Roman" w:hAnsi="Times New Roman" w:cs="Times New Roman"/>
              </w:rPr>
            </w:pPr>
            <w:r w:rsidRPr="00AF3BAC">
              <w:rPr>
                <w:rFonts w:ascii="Times New Roman" w:hAnsi="Times New Roman" w:cs="Times New Roman"/>
              </w:rPr>
              <w:t>331</w:t>
            </w:r>
            <w:r>
              <w:rPr>
                <w:rFonts w:ascii="Times New Roman" w:hAnsi="Times New Roman" w:cs="Times New Roman"/>
              </w:rPr>
              <w:t>± 50.0</w:t>
            </w:r>
          </w:p>
        </w:tc>
        <w:tc>
          <w:tcPr>
            <w:tcW w:w="2573" w:type="dxa"/>
            <w:tcBorders>
              <w:left w:val="nil"/>
              <w:bottom w:val="nil"/>
              <w:right w:val="nil"/>
            </w:tcBorders>
          </w:tcPr>
          <w:p w:rsidR="00A776D4" w:rsidRPr="00AF3BAC" w:rsidRDefault="00A776D4" w:rsidP="00C876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336.6± </w:t>
            </w:r>
            <w:r w:rsidRPr="0043673A">
              <w:rPr>
                <w:rFonts w:ascii="Times New Roman" w:hAnsi="Times New Roman" w:cs="Times New Roman"/>
              </w:rPr>
              <w:t>87.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7" w:type="dxa"/>
            <w:tcBorders>
              <w:left w:val="nil"/>
              <w:bottom w:val="nil"/>
            </w:tcBorders>
          </w:tcPr>
          <w:p w:rsidR="00A776D4" w:rsidRPr="00AF3BAC" w:rsidRDefault="00A776D4" w:rsidP="00C876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0.93</w:t>
            </w:r>
          </w:p>
        </w:tc>
      </w:tr>
      <w:tr w:rsidR="00A776D4" w:rsidRPr="00AF3BAC" w:rsidTr="00C876B5">
        <w:tblPrEx>
          <w:tblBorders>
            <w:insideV w:val="single" w:sz="4" w:space="0" w:color="auto"/>
          </w:tblBorders>
        </w:tblPrEx>
        <w:trPr>
          <w:trHeight w:val="539"/>
        </w:trPr>
        <w:tc>
          <w:tcPr>
            <w:tcW w:w="3242" w:type="dxa"/>
            <w:tcBorders>
              <w:top w:val="nil"/>
              <w:bottom w:val="nil"/>
            </w:tcBorders>
          </w:tcPr>
          <w:p w:rsidR="00A776D4" w:rsidRDefault="00A776D4" w:rsidP="00C876B5">
            <w:pPr>
              <w:rPr>
                <w:rFonts w:ascii="Times New Roman" w:hAnsi="Times New Roman" w:cs="Times New Roman"/>
              </w:rPr>
            </w:pPr>
            <w:r w:rsidRPr="00B01FD8">
              <w:rPr>
                <w:rFonts w:ascii="Times New Roman" w:hAnsi="Times New Roman" w:cs="Times New Roman"/>
              </w:rPr>
              <w:t>HU Cutoff</w:t>
            </w:r>
          </w:p>
          <w:p w:rsidR="00A776D4" w:rsidRPr="00E62F02" w:rsidRDefault="00A776D4" w:rsidP="00C876B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81" w:type="dxa"/>
            <w:tcBorders>
              <w:top w:val="nil"/>
              <w:bottom w:val="nil"/>
              <w:right w:val="nil"/>
            </w:tcBorders>
          </w:tcPr>
          <w:p w:rsidR="00A776D4" w:rsidRPr="00AF3BAC" w:rsidRDefault="00A776D4" w:rsidP="00C876B5">
            <w:pPr>
              <w:rPr>
                <w:rFonts w:ascii="Times New Roman" w:hAnsi="Times New Roman" w:cs="Times New Roman"/>
              </w:rPr>
            </w:pPr>
            <w:r w:rsidRPr="00AF3BAC">
              <w:rPr>
                <w:rFonts w:ascii="Times New Roman" w:hAnsi="Times New Roman" w:cs="Times New Roman"/>
              </w:rPr>
              <w:t xml:space="preserve"> 519.8</w:t>
            </w:r>
            <w:r>
              <w:rPr>
                <w:rFonts w:ascii="Times New Roman" w:hAnsi="Times New Roman" w:cs="Times New Roman"/>
              </w:rPr>
              <w:t xml:space="preserve">± </w:t>
            </w:r>
            <w:r w:rsidRPr="00297ED0">
              <w:rPr>
                <w:rFonts w:ascii="Times New Roman" w:hAnsi="Times New Roman" w:cs="Times New Roman"/>
              </w:rPr>
              <w:t>88.8</w:t>
            </w: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</w:tcPr>
          <w:p w:rsidR="00A776D4" w:rsidRPr="00AF3BAC" w:rsidRDefault="00A776D4" w:rsidP="00C876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525± </w:t>
            </w:r>
            <w:r w:rsidRPr="0043673A">
              <w:rPr>
                <w:rFonts w:ascii="Times New Roman" w:hAnsi="Times New Roman" w:cs="Times New Roman"/>
              </w:rPr>
              <w:t>70.7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</w:tcBorders>
          </w:tcPr>
          <w:p w:rsidR="00A776D4" w:rsidRPr="00AF3BAC" w:rsidRDefault="00A776D4" w:rsidP="00C876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0.90</w:t>
            </w:r>
          </w:p>
        </w:tc>
      </w:tr>
      <w:tr w:rsidR="00A776D4" w:rsidRPr="00AF3BAC" w:rsidTr="00C876B5">
        <w:tblPrEx>
          <w:tblBorders>
            <w:insideV w:val="single" w:sz="4" w:space="0" w:color="auto"/>
          </w:tblBorders>
        </w:tblPrEx>
        <w:trPr>
          <w:trHeight w:val="850"/>
        </w:trPr>
        <w:tc>
          <w:tcPr>
            <w:tcW w:w="3242" w:type="dxa"/>
            <w:tcBorders>
              <w:top w:val="nil"/>
              <w:bottom w:val="nil"/>
            </w:tcBorders>
          </w:tcPr>
          <w:p w:rsidR="00A776D4" w:rsidRDefault="00A776D4" w:rsidP="00C876B5">
            <w:pPr>
              <w:rPr>
                <w:rFonts w:ascii="Times New Roman" w:hAnsi="Times New Roman" w:cs="Times New Roman"/>
              </w:rPr>
            </w:pPr>
            <w:r w:rsidRPr="00B01FD8">
              <w:rPr>
                <w:rFonts w:ascii="Times New Roman" w:hAnsi="Times New Roman" w:cs="Times New Roman"/>
              </w:rPr>
              <w:t>Total Calcium Volume</w:t>
            </w:r>
          </w:p>
          <w:p w:rsidR="00A776D4" w:rsidRPr="00E62F02" w:rsidRDefault="00A776D4" w:rsidP="00C876B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81" w:type="dxa"/>
            <w:tcBorders>
              <w:top w:val="nil"/>
              <w:bottom w:val="nil"/>
              <w:right w:val="nil"/>
            </w:tcBorders>
          </w:tcPr>
          <w:p w:rsidR="00A776D4" w:rsidRPr="00AF3BAC" w:rsidRDefault="00A776D4" w:rsidP="00C876B5">
            <w:pPr>
              <w:rPr>
                <w:rFonts w:ascii="Times New Roman" w:hAnsi="Times New Roman" w:cs="Times New Roman"/>
              </w:rPr>
            </w:pPr>
            <w:r w:rsidRPr="00AF3BAC">
              <w:rPr>
                <w:rFonts w:ascii="Times New Roman" w:hAnsi="Times New Roman" w:cs="Times New Roman"/>
              </w:rPr>
              <w:t xml:space="preserve"> 424.4</w:t>
            </w:r>
            <w:r>
              <w:rPr>
                <w:rFonts w:ascii="Times New Roman" w:hAnsi="Times New Roman" w:cs="Times New Roman"/>
              </w:rPr>
              <w:t>±</w:t>
            </w:r>
            <w:r w:rsidRPr="00297ED0">
              <w:rPr>
                <w:rFonts w:ascii="Times New Roman" w:hAnsi="Times New Roman" w:cs="Times New Roman"/>
              </w:rPr>
              <w:t xml:space="preserve"> 242.5</w:t>
            </w: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</w:tcPr>
          <w:p w:rsidR="00A776D4" w:rsidRPr="00AF3BAC" w:rsidRDefault="00A776D4" w:rsidP="00C876B5">
            <w:pPr>
              <w:rPr>
                <w:rFonts w:ascii="Times New Roman" w:hAnsi="Times New Roman" w:cs="Times New Roman"/>
              </w:rPr>
            </w:pPr>
            <w:r w:rsidRPr="00AF3BA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783.5±</w:t>
            </w:r>
            <w:r w:rsidRPr="0043673A">
              <w:rPr>
                <w:rFonts w:ascii="Times New Roman" w:hAnsi="Times New Roman" w:cs="Times New Roman"/>
              </w:rPr>
              <w:t xml:space="preserve"> 622.1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</w:tcBorders>
          </w:tcPr>
          <w:p w:rsidR="00A776D4" w:rsidRPr="00AF3BAC" w:rsidRDefault="00A776D4" w:rsidP="00C876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0.15</w:t>
            </w:r>
          </w:p>
        </w:tc>
      </w:tr>
      <w:tr w:rsidR="00A776D4" w:rsidRPr="00AF3BAC" w:rsidTr="00C876B5">
        <w:tblPrEx>
          <w:tblBorders>
            <w:insideV w:val="single" w:sz="4" w:space="0" w:color="auto"/>
          </w:tblBorders>
        </w:tblPrEx>
        <w:trPr>
          <w:trHeight w:val="829"/>
        </w:trPr>
        <w:tc>
          <w:tcPr>
            <w:tcW w:w="3242" w:type="dxa"/>
            <w:tcBorders>
              <w:top w:val="nil"/>
              <w:bottom w:val="nil"/>
            </w:tcBorders>
          </w:tcPr>
          <w:p w:rsidR="00A776D4" w:rsidRDefault="00A776D4" w:rsidP="00C876B5">
            <w:pPr>
              <w:rPr>
                <w:rFonts w:ascii="Times New Roman" w:hAnsi="Times New Roman" w:cs="Times New Roman"/>
              </w:rPr>
            </w:pPr>
            <w:r w:rsidRPr="00B01FD8">
              <w:rPr>
                <w:rFonts w:ascii="Times New Roman" w:hAnsi="Times New Roman" w:cs="Times New Roman"/>
              </w:rPr>
              <w:t>LVOT Calcium volume</w:t>
            </w:r>
          </w:p>
          <w:p w:rsidR="00A776D4" w:rsidRPr="00E62F02" w:rsidRDefault="00A776D4" w:rsidP="00C876B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81" w:type="dxa"/>
            <w:tcBorders>
              <w:top w:val="nil"/>
              <w:bottom w:val="nil"/>
              <w:right w:val="nil"/>
            </w:tcBorders>
          </w:tcPr>
          <w:p w:rsidR="00A776D4" w:rsidRPr="00AF3BAC" w:rsidRDefault="00A776D4" w:rsidP="00C876B5">
            <w:pPr>
              <w:rPr>
                <w:rFonts w:ascii="Times New Roman" w:hAnsi="Times New Roman" w:cs="Times New Roman"/>
              </w:rPr>
            </w:pPr>
            <w:r w:rsidRPr="00AF3BAC">
              <w:rPr>
                <w:rFonts w:ascii="Times New Roman" w:hAnsi="Times New Roman" w:cs="Times New Roman"/>
              </w:rPr>
              <w:t xml:space="preserve"> 32.6</w:t>
            </w:r>
            <w:r>
              <w:rPr>
                <w:rFonts w:ascii="Times New Roman" w:hAnsi="Times New Roman" w:cs="Times New Roman"/>
              </w:rPr>
              <w:t xml:space="preserve">± </w:t>
            </w:r>
            <w:r w:rsidRPr="00297ED0">
              <w:rPr>
                <w:rFonts w:ascii="Times New Roman" w:hAnsi="Times New Roman" w:cs="Times New Roman"/>
              </w:rPr>
              <w:t>41.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</w:tcPr>
          <w:p w:rsidR="00A776D4" w:rsidRPr="00AF3BAC" w:rsidRDefault="00A776D4" w:rsidP="00C876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102.9± 202.8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</w:tcBorders>
          </w:tcPr>
          <w:p w:rsidR="00A776D4" w:rsidRPr="00AF3BAC" w:rsidRDefault="00A776D4" w:rsidP="00C876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</w:t>
            </w:r>
          </w:p>
        </w:tc>
      </w:tr>
      <w:tr w:rsidR="00A776D4" w:rsidRPr="00AF3BAC" w:rsidTr="00C876B5">
        <w:tblPrEx>
          <w:tblBorders>
            <w:insideV w:val="single" w:sz="4" w:space="0" w:color="auto"/>
          </w:tblBorders>
        </w:tblPrEx>
        <w:trPr>
          <w:trHeight w:val="850"/>
        </w:trPr>
        <w:tc>
          <w:tcPr>
            <w:tcW w:w="3242" w:type="dxa"/>
            <w:tcBorders>
              <w:top w:val="nil"/>
              <w:bottom w:val="nil"/>
            </w:tcBorders>
          </w:tcPr>
          <w:p w:rsidR="00A776D4" w:rsidRDefault="00A776D4" w:rsidP="00C876B5">
            <w:pPr>
              <w:rPr>
                <w:rFonts w:ascii="Times New Roman" w:hAnsi="Times New Roman" w:cs="Times New Roman"/>
              </w:rPr>
            </w:pPr>
            <w:r w:rsidRPr="00B01FD8">
              <w:rPr>
                <w:rFonts w:ascii="Times New Roman" w:hAnsi="Times New Roman" w:cs="Times New Roman"/>
              </w:rPr>
              <w:t>Annul</w:t>
            </w:r>
            <w:r>
              <w:rPr>
                <w:rFonts w:ascii="Times New Roman" w:hAnsi="Times New Roman" w:cs="Times New Roman"/>
              </w:rPr>
              <w:t>u</w:t>
            </w:r>
            <w:r w:rsidRPr="00B01FD8">
              <w:rPr>
                <w:rFonts w:ascii="Times New Roman" w:hAnsi="Times New Roman" w:cs="Times New Roman"/>
              </w:rPr>
              <w:t>s Calcium volume</w:t>
            </w:r>
          </w:p>
          <w:p w:rsidR="00A776D4" w:rsidRPr="00E62F02" w:rsidRDefault="00A776D4" w:rsidP="00C876B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81" w:type="dxa"/>
            <w:tcBorders>
              <w:top w:val="nil"/>
              <w:bottom w:val="nil"/>
              <w:right w:val="nil"/>
            </w:tcBorders>
          </w:tcPr>
          <w:p w:rsidR="00A776D4" w:rsidRPr="00AF3BAC" w:rsidRDefault="00A776D4" w:rsidP="00C876B5">
            <w:pPr>
              <w:rPr>
                <w:rFonts w:ascii="Times New Roman" w:hAnsi="Times New Roman" w:cs="Times New Roman"/>
              </w:rPr>
            </w:pPr>
            <w:r w:rsidRPr="00AF3BAC">
              <w:rPr>
                <w:rFonts w:ascii="Times New Roman" w:hAnsi="Times New Roman" w:cs="Times New Roman"/>
              </w:rPr>
              <w:t xml:space="preserve"> 94.9</w:t>
            </w:r>
            <w:r>
              <w:rPr>
                <w:rFonts w:ascii="Times New Roman" w:hAnsi="Times New Roman" w:cs="Times New Roman"/>
              </w:rPr>
              <w:t xml:space="preserve">± </w:t>
            </w:r>
            <w:r w:rsidRPr="00297ED0">
              <w:rPr>
                <w:rFonts w:ascii="Times New Roman" w:hAnsi="Times New Roman" w:cs="Times New Roman"/>
              </w:rPr>
              <w:t>37.4</w:t>
            </w: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</w:tcPr>
          <w:p w:rsidR="00A776D4" w:rsidRPr="00AF3BAC" w:rsidRDefault="00A776D4" w:rsidP="00C876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117.9±</w:t>
            </w:r>
            <w:r w:rsidRPr="0043673A">
              <w:rPr>
                <w:rFonts w:ascii="Times New Roman" w:hAnsi="Times New Roman" w:cs="Times New Roman"/>
              </w:rPr>
              <w:t xml:space="preserve"> 120.6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</w:tcBorders>
          </w:tcPr>
          <w:p w:rsidR="00A776D4" w:rsidRPr="00AF3BAC" w:rsidRDefault="00A776D4" w:rsidP="00C876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0.61</w:t>
            </w:r>
          </w:p>
        </w:tc>
      </w:tr>
      <w:tr w:rsidR="00A776D4" w:rsidRPr="00AF3BAC" w:rsidTr="00C876B5">
        <w:tblPrEx>
          <w:tblBorders>
            <w:insideV w:val="single" w:sz="4" w:space="0" w:color="auto"/>
          </w:tblBorders>
        </w:tblPrEx>
        <w:trPr>
          <w:trHeight w:val="829"/>
        </w:trPr>
        <w:tc>
          <w:tcPr>
            <w:tcW w:w="3242" w:type="dxa"/>
            <w:tcBorders>
              <w:top w:val="nil"/>
              <w:bottom w:val="nil"/>
            </w:tcBorders>
          </w:tcPr>
          <w:p w:rsidR="00A776D4" w:rsidRDefault="00A776D4" w:rsidP="00C876B5">
            <w:pPr>
              <w:rPr>
                <w:rFonts w:ascii="Times New Roman" w:hAnsi="Times New Roman" w:cs="Times New Roman"/>
              </w:rPr>
            </w:pPr>
            <w:r w:rsidRPr="00B01FD8">
              <w:rPr>
                <w:rFonts w:ascii="Times New Roman" w:hAnsi="Times New Roman" w:cs="Times New Roman"/>
              </w:rPr>
              <w:lastRenderedPageBreak/>
              <w:t>RCC Leaflet Calcium Volume</w:t>
            </w:r>
          </w:p>
          <w:p w:rsidR="00A776D4" w:rsidRPr="00E62F02" w:rsidRDefault="00A776D4" w:rsidP="00C876B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81" w:type="dxa"/>
            <w:tcBorders>
              <w:top w:val="nil"/>
              <w:bottom w:val="nil"/>
              <w:right w:val="nil"/>
            </w:tcBorders>
          </w:tcPr>
          <w:p w:rsidR="00A776D4" w:rsidRPr="00AF3BAC" w:rsidRDefault="00A776D4" w:rsidP="00C876B5">
            <w:pPr>
              <w:rPr>
                <w:rFonts w:ascii="Times New Roman" w:hAnsi="Times New Roman" w:cs="Times New Roman"/>
              </w:rPr>
            </w:pPr>
            <w:r w:rsidRPr="00AF3BAC">
              <w:rPr>
                <w:rFonts w:ascii="Times New Roman" w:hAnsi="Times New Roman" w:cs="Times New Roman"/>
              </w:rPr>
              <w:t xml:space="preserve"> 106.1</w:t>
            </w:r>
            <w:r>
              <w:rPr>
                <w:rFonts w:ascii="Times New Roman" w:hAnsi="Times New Roman" w:cs="Times New Roman"/>
              </w:rPr>
              <w:t xml:space="preserve">± </w:t>
            </w:r>
            <w:r w:rsidRPr="00297ED0">
              <w:rPr>
                <w:rFonts w:ascii="Times New Roman" w:hAnsi="Times New Roman" w:cs="Times New Roman"/>
              </w:rPr>
              <w:t>104.9</w:t>
            </w: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</w:tcPr>
          <w:p w:rsidR="00A776D4" w:rsidRPr="00AF3BAC" w:rsidRDefault="00A776D4" w:rsidP="00C876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119.7±</w:t>
            </w:r>
            <w:r w:rsidRPr="0043673A">
              <w:rPr>
                <w:rFonts w:ascii="Times New Roman" w:hAnsi="Times New Roman" w:cs="Times New Roman"/>
              </w:rPr>
              <w:t>121.5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</w:tcBorders>
          </w:tcPr>
          <w:p w:rsidR="00A776D4" w:rsidRPr="00AF3BAC" w:rsidRDefault="00A776D4" w:rsidP="00C876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0.81</w:t>
            </w:r>
          </w:p>
        </w:tc>
      </w:tr>
      <w:tr w:rsidR="00A776D4" w:rsidRPr="00AF3BAC" w:rsidTr="00C876B5">
        <w:tblPrEx>
          <w:tblBorders>
            <w:insideV w:val="single" w:sz="4" w:space="0" w:color="auto"/>
          </w:tblBorders>
        </w:tblPrEx>
        <w:trPr>
          <w:trHeight w:val="829"/>
        </w:trPr>
        <w:tc>
          <w:tcPr>
            <w:tcW w:w="3242" w:type="dxa"/>
            <w:tcBorders>
              <w:top w:val="nil"/>
              <w:bottom w:val="nil"/>
            </w:tcBorders>
          </w:tcPr>
          <w:p w:rsidR="00A776D4" w:rsidRDefault="00A776D4" w:rsidP="00C876B5">
            <w:pPr>
              <w:rPr>
                <w:rFonts w:ascii="Times New Roman" w:hAnsi="Times New Roman" w:cs="Times New Roman"/>
              </w:rPr>
            </w:pPr>
            <w:r w:rsidRPr="00B01FD8">
              <w:rPr>
                <w:rFonts w:ascii="Times New Roman" w:hAnsi="Times New Roman" w:cs="Times New Roman"/>
              </w:rPr>
              <w:t>NCC Leaflet Calcium Volume</w:t>
            </w:r>
          </w:p>
          <w:p w:rsidR="00A776D4" w:rsidRPr="00E62F02" w:rsidRDefault="00A776D4" w:rsidP="00C876B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81" w:type="dxa"/>
            <w:tcBorders>
              <w:top w:val="nil"/>
              <w:bottom w:val="nil"/>
              <w:right w:val="nil"/>
            </w:tcBorders>
          </w:tcPr>
          <w:p w:rsidR="00A776D4" w:rsidRPr="00AF3BAC" w:rsidRDefault="00A776D4" w:rsidP="00C876B5">
            <w:pPr>
              <w:tabs>
                <w:tab w:val="right" w:pos="1965"/>
              </w:tabs>
              <w:rPr>
                <w:rFonts w:ascii="Times New Roman" w:hAnsi="Times New Roman" w:cs="Times New Roman"/>
              </w:rPr>
            </w:pPr>
            <w:r w:rsidRPr="00AF3BAC">
              <w:rPr>
                <w:rFonts w:ascii="Times New Roman" w:hAnsi="Times New Roman" w:cs="Times New Roman"/>
              </w:rPr>
              <w:t xml:space="preserve"> 113.6</w:t>
            </w:r>
            <w:r>
              <w:rPr>
                <w:rFonts w:ascii="Times New Roman" w:hAnsi="Times New Roman" w:cs="Times New Roman"/>
              </w:rPr>
              <w:t xml:space="preserve">± </w:t>
            </w:r>
            <w:r w:rsidRPr="00297ED0">
              <w:rPr>
                <w:rFonts w:ascii="Times New Roman" w:hAnsi="Times New Roman" w:cs="Times New Roman"/>
              </w:rPr>
              <w:t>63.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</w:tcPr>
          <w:p w:rsidR="00A776D4" w:rsidRPr="00AF3BAC" w:rsidRDefault="00A776D4" w:rsidP="00C876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342.0±</w:t>
            </w:r>
            <w:r w:rsidRPr="0043673A">
              <w:rPr>
                <w:rFonts w:ascii="Times New Roman" w:hAnsi="Times New Roman" w:cs="Times New Roman"/>
              </w:rPr>
              <w:t xml:space="preserve"> 290.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</w:tcBorders>
          </w:tcPr>
          <w:p w:rsidR="00A776D4" w:rsidRPr="00AF3BAC" w:rsidRDefault="00A776D4" w:rsidP="00C876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0.048</w:t>
            </w:r>
          </w:p>
        </w:tc>
      </w:tr>
      <w:tr w:rsidR="00A776D4" w:rsidRPr="00AF3BAC" w:rsidTr="00C876B5">
        <w:tblPrEx>
          <w:tblBorders>
            <w:insideV w:val="single" w:sz="4" w:space="0" w:color="auto"/>
          </w:tblBorders>
        </w:tblPrEx>
        <w:trPr>
          <w:trHeight w:val="850"/>
        </w:trPr>
        <w:tc>
          <w:tcPr>
            <w:tcW w:w="3242" w:type="dxa"/>
            <w:tcBorders>
              <w:top w:val="nil"/>
              <w:bottom w:val="nil"/>
            </w:tcBorders>
          </w:tcPr>
          <w:p w:rsidR="00A776D4" w:rsidRDefault="00A776D4" w:rsidP="00C876B5">
            <w:pPr>
              <w:rPr>
                <w:rFonts w:ascii="Times New Roman" w:hAnsi="Times New Roman" w:cs="Times New Roman"/>
              </w:rPr>
            </w:pPr>
            <w:r w:rsidRPr="00B01FD8">
              <w:rPr>
                <w:rFonts w:ascii="Times New Roman" w:hAnsi="Times New Roman" w:cs="Times New Roman"/>
              </w:rPr>
              <w:t>LCC Leaflet Calcium Volume</w:t>
            </w:r>
          </w:p>
          <w:p w:rsidR="00A776D4" w:rsidRPr="00E62F02" w:rsidRDefault="00A776D4" w:rsidP="00C876B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81" w:type="dxa"/>
            <w:tcBorders>
              <w:top w:val="nil"/>
              <w:bottom w:val="nil"/>
              <w:right w:val="nil"/>
            </w:tcBorders>
          </w:tcPr>
          <w:p w:rsidR="00A776D4" w:rsidRPr="00AF3BAC" w:rsidRDefault="00A776D4" w:rsidP="00C876B5">
            <w:pPr>
              <w:rPr>
                <w:rFonts w:ascii="Times New Roman" w:hAnsi="Times New Roman" w:cs="Times New Roman"/>
              </w:rPr>
            </w:pPr>
            <w:r w:rsidRPr="00AF3BAC">
              <w:rPr>
                <w:rFonts w:ascii="Times New Roman" w:hAnsi="Times New Roman" w:cs="Times New Roman"/>
              </w:rPr>
              <w:t>91.1</w:t>
            </w:r>
            <w:r>
              <w:rPr>
                <w:rFonts w:ascii="Times New Roman" w:hAnsi="Times New Roman" w:cs="Times New Roman"/>
              </w:rPr>
              <w:t xml:space="preserve">± </w:t>
            </w:r>
            <w:r w:rsidRPr="00297ED0">
              <w:rPr>
                <w:rFonts w:ascii="Times New Roman" w:hAnsi="Times New Roman" w:cs="Times New Roman"/>
              </w:rPr>
              <w:t>89.2</w:t>
            </w: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</w:tcPr>
          <w:p w:rsidR="00A776D4" w:rsidRPr="00AF3BAC" w:rsidRDefault="00A776D4" w:rsidP="00C876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139.9±132.7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</w:tcBorders>
          </w:tcPr>
          <w:p w:rsidR="00A776D4" w:rsidRPr="00AF3BAC" w:rsidRDefault="00A776D4" w:rsidP="00C876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0.40</w:t>
            </w:r>
          </w:p>
        </w:tc>
      </w:tr>
      <w:tr w:rsidR="00A776D4" w:rsidRPr="00AF3BAC" w:rsidTr="00C876B5">
        <w:tblPrEx>
          <w:tblBorders>
            <w:insideV w:val="single" w:sz="4" w:space="0" w:color="auto"/>
          </w:tblBorders>
        </w:tblPrEx>
        <w:trPr>
          <w:trHeight w:val="560"/>
        </w:trPr>
        <w:tc>
          <w:tcPr>
            <w:tcW w:w="3242" w:type="dxa"/>
            <w:tcBorders>
              <w:top w:val="nil"/>
            </w:tcBorders>
          </w:tcPr>
          <w:p w:rsidR="00A776D4" w:rsidRPr="00E62F02" w:rsidRDefault="00A776D4" w:rsidP="00C876B5">
            <w:pPr>
              <w:rPr>
                <w:rFonts w:ascii="Times New Roman" w:hAnsi="Times New Roman" w:cs="Times New Roman"/>
                <w:b/>
              </w:rPr>
            </w:pPr>
            <w:r w:rsidRPr="00B01FD8">
              <w:rPr>
                <w:rFonts w:ascii="Times New Roman" w:hAnsi="Times New Roman" w:cs="Times New Roman"/>
              </w:rPr>
              <w:t>Total leaflet Calcium Volume</w:t>
            </w:r>
          </w:p>
        </w:tc>
        <w:tc>
          <w:tcPr>
            <w:tcW w:w="2181" w:type="dxa"/>
            <w:tcBorders>
              <w:top w:val="nil"/>
              <w:right w:val="nil"/>
            </w:tcBorders>
          </w:tcPr>
          <w:p w:rsidR="00A776D4" w:rsidRPr="00AF3BAC" w:rsidRDefault="00A776D4" w:rsidP="00C876B5">
            <w:pPr>
              <w:rPr>
                <w:rFonts w:ascii="Times New Roman" w:hAnsi="Times New Roman" w:cs="Times New Roman"/>
              </w:rPr>
            </w:pPr>
            <w:r w:rsidRPr="00AF3BAC">
              <w:rPr>
                <w:rFonts w:ascii="Times New Roman" w:hAnsi="Times New Roman" w:cs="Times New Roman"/>
              </w:rPr>
              <w:t xml:space="preserve"> 310.8</w:t>
            </w:r>
            <w:r>
              <w:rPr>
                <w:rFonts w:ascii="Times New Roman" w:hAnsi="Times New Roman" w:cs="Times New Roman"/>
              </w:rPr>
              <w:t xml:space="preserve">± </w:t>
            </w:r>
            <w:r w:rsidRPr="00297ED0">
              <w:rPr>
                <w:rFonts w:ascii="Times New Roman" w:hAnsi="Times New Roman" w:cs="Times New Roman"/>
              </w:rPr>
              <w:t>233.7</w:t>
            </w:r>
          </w:p>
        </w:tc>
        <w:tc>
          <w:tcPr>
            <w:tcW w:w="2573" w:type="dxa"/>
            <w:tcBorders>
              <w:top w:val="nil"/>
              <w:left w:val="nil"/>
              <w:right w:val="nil"/>
            </w:tcBorders>
          </w:tcPr>
          <w:p w:rsidR="00A776D4" w:rsidRPr="00AF3BAC" w:rsidRDefault="00A776D4" w:rsidP="00C876B5">
            <w:pPr>
              <w:rPr>
                <w:rFonts w:ascii="Times New Roman" w:hAnsi="Times New Roman" w:cs="Times New Roman"/>
              </w:rPr>
            </w:pPr>
            <w:r w:rsidRPr="00AF3BA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601.6±</w:t>
            </w:r>
            <w:r w:rsidRPr="0043673A">
              <w:rPr>
                <w:rFonts w:ascii="Times New Roman" w:hAnsi="Times New Roman" w:cs="Times New Roman"/>
              </w:rPr>
              <w:t xml:space="preserve"> 504.9</w:t>
            </w:r>
          </w:p>
        </w:tc>
        <w:tc>
          <w:tcPr>
            <w:tcW w:w="1287" w:type="dxa"/>
            <w:tcBorders>
              <w:top w:val="nil"/>
              <w:left w:val="nil"/>
            </w:tcBorders>
          </w:tcPr>
          <w:p w:rsidR="00A776D4" w:rsidRPr="00AF3BAC" w:rsidRDefault="00A776D4" w:rsidP="00C876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0.16</w:t>
            </w:r>
          </w:p>
        </w:tc>
      </w:tr>
    </w:tbl>
    <w:p w:rsidR="00A776D4" w:rsidRDefault="00A776D4" w:rsidP="00A776D4">
      <w:pPr>
        <w:rPr>
          <w:rFonts w:ascii="Times New Roman" w:hAnsi="Times New Roman" w:cs="Times New Roman"/>
        </w:rPr>
      </w:pPr>
    </w:p>
    <w:p w:rsidR="00A776D4" w:rsidRDefault="00A776D4" w:rsidP="00A776D4">
      <w:r>
        <w:rPr>
          <w:rFonts w:ascii="Times New Roman" w:hAnsi="Times New Roman" w:cs="Times New Roman"/>
          <w:color w:val="000000"/>
        </w:rPr>
        <w:t>The</w:t>
      </w:r>
      <w:r w:rsidRPr="009E2897">
        <w:rPr>
          <w:rFonts w:ascii="Times New Roman" w:hAnsi="Times New Roman" w:cs="Times New Roman"/>
          <w:color w:val="000000"/>
        </w:rPr>
        <w:t xml:space="preserve"> p-values shown </w:t>
      </w:r>
      <w:r>
        <w:rPr>
          <w:rFonts w:ascii="Times New Roman" w:hAnsi="Times New Roman" w:cs="Times New Roman"/>
          <w:color w:val="000000"/>
        </w:rPr>
        <w:t>are derived from</w:t>
      </w:r>
      <w:r w:rsidRPr="009E2897">
        <w:rPr>
          <w:rFonts w:ascii="Times New Roman" w:hAnsi="Times New Roman" w:cs="Times New Roman"/>
          <w:color w:val="000000"/>
        </w:rPr>
        <w:t xml:space="preserve"> two-tailed unpaired Student’s t-test for continuous variables. Patients who were non-RV pacing dependent at 30 days and patients who were RV pacing dependent at 30 days patients were </w:t>
      </w:r>
      <w:r>
        <w:rPr>
          <w:rFonts w:ascii="Times New Roman" w:hAnsi="Times New Roman" w:cs="Times New Roman"/>
          <w:color w:val="000000"/>
        </w:rPr>
        <w:t>separately</w:t>
      </w:r>
      <w:r w:rsidRPr="009E2897">
        <w:rPr>
          <w:rFonts w:ascii="Times New Roman" w:hAnsi="Times New Roman" w:cs="Times New Roman"/>
          <w:color w:val="000000"/>
        </w:rPr>
        <w:t xml:space="preserve"> compared. Continuous variables are reported as the mean plus or minus the standard deviation. </w:t>
      </w:r>
      <w:r>
        <w:rPr>
          <w:rFonts w:ascii="Times New Roman" w:eastAsia="Times New Roman" w:hAnsi="Times New Roman" w:cs="Times New Roman"/>
          <w:color w:val="000000"/>
        </w:rPr>
        <w:t>HU = Hounsfield Units; LVOT = Left Ventricular Outflow Tract; RCC = Right Coronary Cusp; NCC = Non-coronary Cusp; LCC = Left Coronary Cusp; RV = Right Ventricular</w:t>
      </w:r>
    </w:p>
    <w:p w:rsidR="00A776D4" w:rsidRDefault="00A776D4">
      <w:pPr>
        <w:rPr>
          <w:b/>
        </w:rPr>
      </w:pPr>
    </w:p>
    <w:sectPr w:rsidR="00A776D4" w:rsidSect="0016767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4C5D" w:rsidRDefault="00784C5D" w:rsidP="00C56B2B">
      <w:r>
        <w:separator/>
      </w:r>
    </w:p>
  </w:endnote>
  <w:endnote w:type="continuationSeparator" w:id="1">
    <w:p w:rsidR="00784C5D" w:rsidRDefault="00784C5D" w:rsidP="00C56B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20000A87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4C5D" w:rsidRDefault="00784C5D" w:rsidP="00C56B2B">
      <w:r>
        <w:separator/>
      </w:r>
    </w:p>
  </w:footnote>
  <w:footnote w:type="continuationSeparator" w:id="1">
    <w:p w:rsidR="00784C5D" w:rsidRDefault="00784C5D" w:rsidP="00C56B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E2F85"/>
    <w:rsid w:val="000B42FD"/>
    <w:rsid w:val="00104DE1"/>
    <w:rsid w:val="00167678"/>
    <w:rsid w:val="002571C0"/>
    <w:rsid w:val="00266A96"/>
    <w:rsid w:val="00276660"/>
    <w:rsid w:val="00297ED0"/>
    <w:rsid w:val="003E2F85"/>
    <w:rsid w:val="0043673A"/>
    <w:rsid w:val="0046140B"/>
    <w:rsid w:val="005A093D"/>
    <w:rsid w:val="006A3424"/>
    <w:rsid w:val="00716982"/>
    <w:rsid w:val="00724842"/>
    <w:rsid w:val="00784C5D"/>
    <w:rsid w:val="00881512"/>
    <w:rsid w:val="0089255E"/>
    <w:rsid w:val="008E48AB"/>
    <w:rsid w:val="008F560E"/>
    <w:rsid w:val="00975C0A"/>
    <w:rsid w:val="00A776D4"/>
    <w:rsid w:val="00AD0613"/>
    <w:rsid w:val="00AF3BAC"/>
    <w:rsid w:val="00B331FF"/>
    <w:rsid w:val="00BC1317"/>
    <w:rsid w:val="00C02C02"/>
    <w:rsid w:val="00C56B2B"/>
    <w:rsid w:val="00CC1E06"/>
    <w:rsid w:val="00DB5360"/>
    <w:rsid w:val="00DF72AD"/>
    <w:rsid w:val="00E2428B"/>
    <w:rsid w:val="00E8040B"/>
    <w:rsid w:val="00FB6E5C"/>
    <w:rsid w:val="00FC1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A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2F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E2F85"/>
  </w:style>
  <w:style w:type="paragraph" w:styleId="Header">
    <w:name w:val="header"/>
    <w:basedOn w:val="Normal"/>
    <w:link w:val="HeaderChar"/>
    <w:uiPriority w:val="99"/>
    <w:unhideWhenUsed/>
    <w:rsid w:val="00C56B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6B2B"/>
  </w:style>
  <w:style w:type="paragraph" w:styleId="Footer">
    <w:name w:val="footer"/>
    <w:basedOn w:val="Normal"/>
    <w:link w:val="FooterChar"/>
    <w:uiPriority w:val="99"/>
    <w:unhideWhenUsed/>
    <w:rsid w:val="00C56B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6B2B"/>
  </w:style>
  <w:style w:type="paragraph" w:styleId="BalloonText">
    <w:name w:val="Balloon Text"/>
    <w:basedOn w:val="Normal"/>
    <w:link w:val="BalloonTextChar"/>
    <w:uiPriority w:val="99"/>
    <w:semiHidden/>
    <w:unhideWhenUsed/>
    <w:rsid w:val="00FB6E5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E5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2F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E2F85"/>
  </w:style>
  <w:style w:type="paragraph" w:styleId="Header">
    <w:name w:val="header"/>
    <w:basedOn w:val="Normal"/>
    <w:link w:val="HeaderChar"/>
    <w:uiPriority w:val="99"/>
    <w:unhideWhenUsed/>
    <w:rsid w:val="00C56B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6B2B"/>
  </w:style>
  <w:style w:type="paragraph" w:styleId="Footer">
    <w:name w:val="footer"/>
    <w:basedOn w:val="Normal"/>
    <w:link w:val="FooterChar"/>
    <w:uiPriority w:val="99"/>
    <w:unhideWhenUsed/>
    <w:rsid w:val="00C56B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6B2B"/>
  </w:style>
  <w:style w:type="paragraph" w:styleId="BalloonText">
    <w:name w:val="Balloon Text"/>
    <w:basedOn w:val="Normal"/>
    <w:link w:val="BalloonTextChar"/>
    <w:uiPriority w:val="99"/>
    <w:semiHidden/>
    <w:unhideWhenUsed/>
    <w:rsid w:val="00FB6E5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E5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397</Words>
  <Characters>2266</Characters>
  <Application>Microsoft Office Word</Application>
  <DocSecurity>0</DocSecurity>
  <Lines>18</Lines>
  <Paragraphs>5</Paragraphs>
  <ScaleCrop>false</ScaleCrop>
  <Company>MS</Company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Esseim Sharma</dc:creator>
  <cp:lastModifiedBy>admin</cp:lastModifiedBy>
  <cp:revision>5</cp:revision>
  <dcterms:created xsi:type="dcterms:W3CDTF">2020-04-17T07:14:00Z</dcterms:created>
  <dcterms:modified xsi:type="dcterms:W3CDTF">2020-04-20T01:12:00Z</dcterms:modified>
</cp:coreProperties>
</file>